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AC" w:rsidRDefault="006622AC" w:rsidP="006622AC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32A04" w:rsidRDefault="00532A04" w:rsidP="006622AC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32A04" w:rsidRDefault="00532A04" w:rsidP="006622AC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622AC" w:rsidRPr="0025472A" w:rsidRDefault="006622AC" w:rsidP="006622AC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622AC" w:rsidRPr="004C14FF" w:rsidRDefault="006622AC" w:rsidP="006622AC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65DEC" w:rsidRDefault="00965DEC" w:rsidP="00965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DEC" w:rsidRDefault="00965DEC" w:rsidP="00965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DEC" w:rsidRDefault="00772386" w:rsidP="007723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мая 2022 г. № 316</w:t>
      </w:r>
    </w:p>
    <w:p w:rsidR="00772386" w:rsidRDefault="00772386" w:rsidP="007723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965DEC" w:rsidRPr="00965DEC" w:rsidRDefault="00965DEC" w:rsidP="00965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DEC" w:rsidRDefault="004E3EC8" w:rsidP="00965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DEC">
        <w:rPr>
          <w:rFonts w:ascii="Times New Roman" w:hAnsi="Times New Roman" w:cs="Times New Roman"/>
          <w:b/>
          <w:sz w:val="28"/>
          <w:szCs w:val="28"/>
        </w:rPr>
        <w:t xml:space="preserve">Об итогах деятельности Агентства </w:t>
      </w:r>
    </w:p>
    <w:p w:rsidR="001B24EB" w:rsidRPr="00965DEC" w:rsidRDefault="004E3EC8" w:rsidP="00965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DEC">
        <w:rPr>
          <w:rFonts w:ascii="Times New Roman" w:hAnsi="Times New Roman" w:cs="Times New Roman"/>
          <w:b/>
          <w:sz w:val="28"/>
          <w:szCs w:val="28"/>
        </w:rPr>
        <w:t>по науке Республики Тыва</w:t>
      </w:r>
      <w:r w:rsidR="00965DEC" w:rsidRPr="00965DEC">
        <w:rPr>
          <w:rFonts w:ascii="Times New Roman" w:hAnsi="Times New Roman" w:cs="Times New Roman"/>
          <w:b/>
          <w:sz w:val="28"/>
          <w:szCs w:val="28"/>
        </w:rPr>
        <w:t xml:space="preserve"> за 2021</w:t>
      </w:r>
    </w:p>
    <w:p w:rsidR="00965DEC" w:rsidRDefault="004E3EC8" w:rsidP="00965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DEC">
        <w:rPr>
          <w:rFonts w:ascii="Times New Roman" w:hAnsi="Times New Roman" w:cs="Times New Roman"/>
          <w:b/>
          <w:sz w:val="28"/>
          <w:szCs w:val="28"/>
        </w:rPr>
        <w:t xml:space="preserve">год и об утверждении приоритетных </w:t>
      </w:r>
    </w:p>
    <w:p w:rsidR="001B24EB" w:rsidRPr="00965DEC" w:rsidRDefault="004E3EC8" w:rsidP="00965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DEC">
        <w:rPr>
          <w:rFonts w:ascii="Times New Roman" w:hAnsi="Times New Roman" w:cs="Times New Roman"/>
          <w:b/>
          <w:sz w:val="28"/>
          <w:szCs w:val="28"/>
        </w:rPr>
        <w:t>направлений деятельности на 2022 год</w:t>
      </w:r>
    </w:p>
    <w:p w:rsidR="001B24EB" w:rsidRDefault="001B24EB" w:rsidP="00965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DEC" w:rsidRPr="00965DEC" w:rsidRDefault="00965DEC" w:rsidP="00965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89D" w:rsidRPr="00965DEC" w:rsidRDefault="004E3EC8" w:rsidP="00965DE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DEC">
        <w:rPr>
          <w:rFonts w:ascii="Times New Roman" w:hAnsi="Times New Roman" w:cs="Times New Roman"/>
          <w:sz w:val="28"/>
          <w:szCs w:val="28"/>
        </w:rPr>
        <w:t xml:space="preserve">В соответствии с Законом Республики Тыва от 1 апреля 2016 г. № 160-ЗРТ </w:t>
      </w:r>
      <w:r w:rsidR="00965DE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965DEC">
        <w:rPr>
          <w:rFonts w:ascii="Times New Roman" w:hAnsi="Times New Roman" w:cs="Times New Roman"/>
          <w:sz w:val="28"/>
          <w:szCs w:val="28"/>
        </w:rPr>
        <w:t xml:space="preserve">   </w:t>
      </w:r>
      <w:r w:rsidRPr="00965DE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65DEC">
        <w:rPr>
          <w:rFonts w:ascii="Times New Roman" w:hAnsi="Times New Roman" w:cs="Times New Roman"/>
          <w:sz w:val="28"/>
          <w:szCs w:val="28"/>
        </w:rPr>
        <w:t>О стратегическом планировании в Республике Тыва» Правительство Республики Тыва ПОСТАНОВЛЯЕТ:</w:t>
      </w:r>
    </w:p>
    <w:p w:rsidR="00D642C1" w:rsidRPr="00965DEC" w:rsidRDefault="00D642C1" w:rsidP="00965DE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4EB" w:rsidRPr="00965DEC" w:rsidRDefault="00965DEC" w:rsidP="00965DE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DEC">
        <w:rPr>
          <w:rFonts w:ascii="Times New Roman" w:hAnsi="Times New Roman" w:cs="Times New Roman"/>
          <w:sz w:val="28"/>
          <w:szCs w:val="28"/>
        </w:rPr>
        <w:t xml:space="preserve">1. </w:t>
      </w:r>
      <w:r w:rsidR="004E3EC8" w:rsidRPr="00965DEC">
        <w:rPr>
          <w:rFonts w:ascii="Times New Roman" w:hAnsi="Times New Roman" w:cs="Times New Roman"/>
          <w:sz w:val="28"/>
          <w:szCs w:val="28"/>
        </w:rPr>
        <w:t>Принять к сведению информацию директора Агентства по науке Республики Тыва Стороженко А.А. об итогах деятельности Агентства по науке Республики Тыва за 2021 год.</w:t>
      </w:r>
    </w:p>
    <w:p w:rsidR="001B24EB" w:rsidRPr="00965DEC" w:rsidRDefault="00965DEC" w:rsidP="00965DE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DEC">
        <w:rPr>
          <w:rFonts w:ascii="Times New Roman" w:hAnsi="Times New Roman" w:cs="Times New Roman"/>
          <w:sz w:val="28"/>
          <w:szCs w:val="28"/>
        </w:rPr>
        <w:t xml:space="preserve">2. </w:t>
      </w:r>
      <w:r w:rsidR="00794617" w:rsidRPr="00965DEC">
        <w:rPr>
          <w:rFonts w:ascii="Times New Roman" w:hAnsi="Times New Roman" w:cs="Times New Roman"/>
          <w:sz w:val="28"/>
          <w:szCs w:val="28"/>
        </w:rPr>
        <w:t>О</w:t>
      </w:r>
      <w:r w:rsidR="004E3EC8" w:rsidRPr="00965DEC">
        <w:rPr>
          <w:rFonts w:ascii="Times New Roman" w:hAnsi="Times New Roman" w:cs="Times New Roman"/>
          <w:sz w:val="28"/>
          <w:szCs w:val="28"/>
        </w:rPr>
        <w:t>пределить приоритетными направлениями деятельности Агентства по науке Республики Тыва на 2022 год:</w:t>
      </w:r>
    </w:p>
    <w:p w:rsidR="001B24EB" w:rsidRPr="00965DEC" w:rsidRDefault="00927AAD" w:rsidP="00965DE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65DEC">
        <w:rPr>
          <w:rFonts w:ascii="Times New Roman" w:hAnsi="Times New Roman" w:cs="Times New Roman"/>
          <w:sz w:val="28"/>
          <w:szCs w:val="28"/>
        </w:rPr>
        <w:t>ф</w:t>
      </w:r>
      <w:r w:rsidR="004E3EC8" w:rsidRPr="00965DEC">
        <w:rPr>
          <w:rFonts w:ascii="Times New Roman" w:hAnsi="Times New Roman" w:cs="Times New Roman"/>
          <w:sz w:val="28"/>
          <w:szCs w:val="28"/>
          <w:highlight w:val="white"/>
        </w:rPr>
        <w:t>ормирование эффективной современной системы управления в области науки, технологий и инноваций</w:t>
      </w:r>
      <w:r w:rsidRPr="00965DEC">
        <w:rPr>
          <w:rFonts w:ascii="Times New Roman" w:hAnsi="Times New Roman" w:cs="Times New Roman"/>
          <w:sz w:val="28"/>
          <w:szCs w:val="28"/>
          <w:highlight w:val="white"/>
        </w:rPr>
        <w:t>;</w:t>
      </w:r>
    </w:p>
    <w:p w:rsidR="00927AAD" w:rsidRPr="00965DEC" w:rsidRDefault="00927AAD" w:rsidP="00965DE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DEC">
        <w:rPr>
          <w:rFonts w:ascii="Times New Roman" w:hAnsi="Times New Roman" w:cs="Times New Roman"/>
          <w:sz w:val="28"/>
          <w:szCs w:val="28"/>
          <w:highlight w:val="white"/>
        </w:rPr>
        <w:t>с</w:t>
      </w:r>
      <w:r w:rsidR="004E3EC8" w:rsidRPr="00965DEC">
        <w:rPr>
          <w:rFonts w:ascii="Times New Roman" w:hAnsi="Times New Roman" w:cs="Times New Roman"/>
          <w:sz w:val="28"/>
          <w:szCs w:val="28"/>
          <w:highlight w:val="white"/>
        </w:rPr>
        <w:t>овершенствование условий для научной, научно-технической и инновационной деятельности</w:t>
      </w:r>
      <w:r w:rsidR="004E3EC8" w:rsidRPr="00965DEC">
        <w:rPr>
          <w:rFonts w:ascii="Times New Roman" w:hAnsi="Times New Roman" w:cs="Times New Roman"/>
          <w:sz w:val="28"/>
          <w:szCs w:val="28"/>
        </w:rPr>
        <w:t>,</w:t>
      </w:r>
      <w:r w:rsidR="004E3EC8" w:rsidRPr="00965DEC">
        <w:rPr>
          <w:rFonts w:ascii="Times New Roman" w:hAnsi="Times New Roman" w:cs="Times New Roman"/>
          <w:sz w:val="28"/>
          <w:szCs w:val="28"/>
          <w:highlight w:val="white"/>
        </w:rPr>
        <w:t xml:space="preserve"> повышение востребованности научного потенциала в социально-экономическом развитии </w:t>
      </w:r>
      <w:r w:rsidR="004E3EC8" w:rsidRPr="00965DEC">
        <w:rPr>
          <w:rFonts w:ascii="Times New Roman" w:hAnsi="Times New Roman" w:cs="Times New Roman"/>
          <w:sz w:val="28"/>
          <w:szCs w:val="28"/>
        </w:rPr>
        <w:t>Республики Тыва</w:t>
      </w:r>
      <w:r w:rsidRPr="00965DEC">
        <w:rPr>
          <w:rFonts w:ascii="Times New Roman" w:hAnsi="Times New Roman" w:cs="Times New Roman"/>
          <w:sz w:val="28"/>
          <w:szCs w:val="28"/>
        </w:rPr>
        <w:t>;</w:t>
      </w:r>
    </w:p>
    <w:p w:rsidR="001B24EB" w:rsidRDefault="00927AAD" w:rsidP="00965DE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DEC">
        <w:rPr>
          <w:rFonts w:ascii="Times New Roman" w:hAnsi="Times New Roman" w:cs="Times New Roman"/>
          <w:sz w:val="28"/>
          <w:szCs w:val="28"/>
        </w:rPr>
        <w:t>и</w:t>
      </w:r>
      <w:r w:rsidR="00AC7003" w:rsidRPr="00965DEC">
        <w:rPr>
          <w:rFonts w:ascii="Times New Roman" w:hAnsi="Times New Roman" w:cs="Times New Roman"/>
          <w:sz w:val="28"/>
          <w:szCs w:val="28"/>
        </w:rPr>
        <w:t>нформационное продвижение науки, популяризация научной, научно-технической и инновационной деятельности в Республике Тыва.</w:t>
      </w:r>
    </w:p>
    <w:p w:rsidR="006622AC" w:rsidRDefault="006622AC" w:rsidP="00965DE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2AC" w:rsidRPr="00965DEC" w:rsidRDefault="006622AC" w:rsidP="00965DE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4EB" w:rsidRPr="00965DEC" w:rsidRDefault="00965DEC" w:rsidP="00965DE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DE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4E3EC8" w:rsidRPr="00965DEC">
        <w:rPr>
          <w:rFonts w:ascii="Times New Roman" w:hAnsi="Times New Roman" w:cs="Times New Roman"/>
          <w:sz w:val="28"/>
          <w:szCs w:val="28"/>
        </w:rPr>
        <w:t>Утвердить прилагаемый план мероприятий по реализации приоритетных направлений деятельности Агентства по науке Республики Тыва на 2022 год.</w:t>
      </w:r>
    </w:p>
    <w:p w:rsidR="001B24EB" w:rsidRPr="00965DEC" w:rsidRDefault="00965DEC" w:rsidP="00965DE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DEC">
        <w:rPr>
          <w:rFonts w:ascii="Times New Roman" w:hAnsi="Times New Roman" w:cs="Times New Roman"/>
          <w:sz w:val="28"/>
          <w:szCs w:val="28"/>
        </w:rPr>
        <w:t xml:space="preserve">4. </w:t>
      </w:r>
      <w:r w:rsidR="004E3EC8" w:rsidRPr="00965DE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Председателя Правительства Республики Тыва </w:t>
      </w:r>
      <w:proofErr w:type="spellStart"/>
      <w:r w:rsidR="004E3EC8" w:rsidRPr="00965DEC">
        <w:rPr>
          <w:rFonts w:ascii="Times New Roman" w:hAnsi="Times New Roman" w:cs="Times New Roman"/>
          <w:sz w:val="28"/>
          <w:szCs w:val="28"/>
        </w:rPr>
        <w:t>Хардикову</w:t>
      </w:r>
      <w:proofErr w:type="spellEnd"/>
      <w:r w:rsidR="004E3EC8" w:rsidRPr="00965DEC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1B24EB" w:rsidRPr="00965DEC" w:rsidRDefault="00965DEC" w:rsidP="00965DE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DEC">
        <w:rPr>
          <w:rFonts w:ascii="Times New Roman" w:hAnsi="Times New Roman" w:cs="Times New Roman"/>
          <w:sz w:val="28"/>
          <w:szCs w:val="28"/>
        </w:rPr>
        <w:t xml:space="preserve">5. </w:t>
      </w:r>
      <w:r w:rsidR="004E3EC8" w:rsidRPr="00965DEC">
        <w:rPr>
          <w:rFonts w:ascii="Times New Roman" w:hAnsi="Times New Roman" w:cs="Times New Roman"/>
          <w:sz w:val="28"/>
          <w:szCs w:val="28"/>
        </w:rPr>
        <w:t>Размест</w:t>
      </w:r>
      <w:r w:rsidR="00D642C1" w:rsidRPr="00965DEC"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="004E3EC8" w:rsidRPr="00965DEC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D642C1" w:rsidRPr="00965DEC">
        <w:rPr>
          <w:rFonts w:ascii="Times New Roman" w:hAnsi="Times New Roman" w:cs="Times New Roman"/>
          <w:sz w:val="28"/>
          <w:szCs w:val="28"/>
        </w:rPr>
        <w:t>»</w:t>
      </w:r>
      <w:r w:rsidR="004E3EC8" w:rsidRPr="00965DEC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1B24EB" w:rsidRDefault="001B24EB" w:rsidP="00965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DEC" w:rsidRDefault="00965DEC" w:rsidP="00965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DEC" w:rsidRPr="00965DEC" w:rsidRDefault="00965DEC" w:rsidP="00965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4EB" w:rsidRDefault="004E3EC8" w:rsidP="00965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DEC"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  <w:r w:rsidR="0090189D" w:rsidRPr="00965DEC">
        <w:rPr>
          <w:rFonts w:ascii="Times New Roman" w:hAnsi="Times New Roman" w:cs="Times New Roman"/>
          <w:sz w:val="28"/>
          <w:szCs w:val="28"/>
        </w:rPr>
        <w:tab/>
      </w:r>
      <w:r w:rsidR="0090189D" w:rsidRPr="00965DEC">
        <w:rPr>
          <w:rFonts w:ascii="Times New Roman" w:hAnsi="Times New Roman" w:cs="Times New Roman"/>
          <w:sz w:val="28"/>
          <w:szCs w:val="28"/>
        </w:rPr>
        <w:tab/>
      </w:r>
      <w:r w:rsidRPr="00965DEC">
        <w:rPr>
          <w:rFonts w:ascii="Times New Roman" w:hAnsi="Times New Roman" w:cs="Times New Roman"/>
          <w:sz w:val="28"/>
          <w:szCs w:val="28"/>
        </w:rPr>
        <w:tab/>
      </w:r>
      <w:r w:rsidRPr="00965DEC">
        <w:rPr>
          <w:rFonts w:ascii="Times New Roman" w:hAnsi="Times New Roman" w:cs="Times New Roman"/>
          <w:sz w:val="28"/>
          <w:szCs w:val="28"/>
        </w:rPr>
        <w:tab/>
      </w:r>
      <w:r w:rsidRPr="00965DEC">
        <w:rPr>
          <w:rFonts w:ascii="Times New Roman" w:hAnsi="Times New Roman" w:cs="Times New Roman"/>
          <w:sz w:val="28"/>
          <w:szCs w:val="28"/>
        </w:rPr>
        <w:tab/>
      </w:r>
      <w:r w:rsidRPr="00965DEC">
        <w:rPr>
          <w:rFonts w:ascii="Times New Roman" w:hAnsi="Times New Roman" w:cs="Times New Roman"/>
          <w:sz w:val="28"/>
          <w:szCs w:val="28"/>
        </w:rPr>
        <w:tab/>
      </w:r>
      <w:r w:rsidRPr="00965DEC">
        <w:rPr>
          <w:rFonts w:ascii="Times New Roman" w:hAnsi="Times New Roman" w:cs="Times New Roman"/>
          <w:sz w:val="28"/>
          <w:szCs w:val="28"/>
        </w:rPr>
        <w:tab/>
      </w:r>
      <w:r w:rsidRPr="00965DEC">
        <w:rPr>
          <w:rFonts w:ascii="Times New Roman" w:hAnsi="Times New Roman" w:cs="Times New Roman"/>
          <w:sz w:val="28"/>
          <w:szCs w:val="28"/>
        </w:rPr>
        <w:tab/>
      </w:r>
      <w:r w:rsidR="0090189D" w:rsidRPr="00965DEC">
        <w:rPr>
          <w:rFonts w:ascii="Times New Roman" w:hAnsi="Times New Roman" w:cs="Times New Roman"/>
          <w:sz w:val="28"/>
          <w:szCs w:val="28"/>
        </w:rPr>
        <w:tab/>
      </w:r>
      <w:r w:rsidR="0090189D" w:rsidRPr="00965DEC">
        <w:rPr>
          <w:rFonts w:ascii="Times New Roman" w:hAnsi="Times New Roman" w:cs="Times New Roman"/>
          <w:sz w:val="28"/>
          <w:szCs w:val="28"/>
        </w:rPr>
        <w:tab/>
      </w:r>
      <w:r w:rsidR="0090189D" w:rsidRPr="00965DEC">
        <w:rPr>
          <w:rFonts w:ascii="Times New Roman" w:hAnsi="Times New Roman" w:cs="Times New Roman"/>
          <w:sz w:val="28"/>
          <w:szCs w:val="28"/>
        </w:rPr>
        <w:tab/>
      </w:r>
      <w:r w:rsidR="0090189D" w:rsidRPr="00965DEC">
        <w:rPr>
          <w:rFonts w:ascii="Times New Roman" w:hAnsi="Times New Roman" w:cs="Times New Roman"/>
          <w:sz w:val="28"/>
          <w:szCs w:val="28"/>
        </w:rPr>
        <w:tab/>
      </w:r>
      <w:r w:rsidR="0090189D" w:rsidRPr="00965DEC">
        <w:rPr>
          <w:rFonts w:ascii="Times New Roman" w:hAnsi="Times New Roman" w:cs="Times New Roman"/>
          <w:sz w:val="28"/>
          <w:szCs w:val="28"/>
        </w:rPr>
        <w:tab/>
      </w:r>
      <w:r w:rsidR="0090189D" w:rsidRPr="00965DEC">
        <w:rPr>
          <w:rFonts w:ascii="Times New Roman" w:hAnsi="Times New Roman" w:cs="Times New Roman"/>
          <w:sz w:val="28"/>
          <w:szCs w:val="28"/>
        </w:rPr>
        <w:tab/>
      </w:r>
      <w:r w:rsidR="00965D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965DE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65DEC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965DEC" w:rsidRDefault="00965DEC" w:rsidP="00965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DEC" w:rsidRPr="00965DEC" w:rsidRDefault="00965DEC" w:rsidP="00965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89D" w:rsidRPr="00794617" w:rsidRDefault="0090189D" w:rsidP="00794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0189D" w:rsidRPr="00794617" w:rsidSect="00965D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pgNumType w:start="1"/>
          <w:cols w:space="720"/>
          <w:titlePg/>
          <w:docGrid w:linePitch="299"/>
        </w:sectPr>
      </w:pPr>
    </w:p>
    <w:p w:rsidR="001B24EB" w:rsidRPr="00965DEC" w:rsidRDefault="004E3EC8" w:rsidP="00965DEC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965DE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65DEC" w:rsidRDefault="004E3EC8" w:rsidP="00965DEC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965DE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</w:p>
    <w:p w:rsidR="001B24EB" w:rsidRPr="00965DEC" w:rsidRDefault="004E3EC8" w:rsidP="00965DEC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965DEC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772386" w:rsidRDefault="00772386" w:rsidP="00772386">
      <w:pPr>
        <w:spacing w:after="0" w:line="360" w:lineRule="auto"/>
        <w:ind w:left="10" w:firstLine="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71464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от 27 мая 2022 г. № 316</w:t>
      </w:r>
    </w:p>
    <w:p w:rsidR="00965DEC" w:rsidRPr="00965DEC" w:rsidRDefault="00965DEC" w:rsidP="00965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DEC" w:rsidRPr="00965DEC" w:rsidRDefault="004E3EC8" w:rsidP="00965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DEC">
        <w:rPr>
          <w:rFonts w:ascii="Times New Roman" w:hAnsi="Times New Roman" w:cs="Times New Roman"/>
          <w:b/>
          <w:sz w:val="28"/>
          <w:szCs w:val="28"/>
        </w:rPr>
        <w:t>П</w:t>
      </w:r>
      <w:r w:rsidR="00965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DEC">
        <w:rPr>
          <w:rFonts w:ascii="Times New Roman" w:hAnsi="Times New Roman" w:cs="Times New Roman"/>
          <w:b/>
          <w:sz w:val="28"/>
          <w:szCs w:val="28"/>
        </w:rPr>
        <w:t>Л</w:t>
      </w:r>
      <w:r w:rsidR="00965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DEC">
        <w:rPr>
          <w:rFonts w:ascii="Times New Roman" w:hAnsi="Times New Roman" w:cs="Times New Roman"/>
          <w:b/>
          <w:sz w:val="28"/>
          <w:szCs w:val="28"/>
        </w:rPr>
        <w:t>А</w:t>
      </w:r>
      <w:r w:rsidR="00965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DEC">
        <w:rPr>
          <w:rFonts w:ascii="Times New Roman" w:hAnsi="Times New Roman" w:cs="Times New Roman"/>
          <w:b/>
          <w:sz w:val="28"/>
          <w:szCs w:val="28"/>
        </w:rPr>
        <w:t xml:space="preserve">Н </w:t>
      </w:r>
    </w:p>
    <w:p w:rsidR="00DB13E4" w:rsidRDefault="004E3EC8" w:rsidP="00965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DEC">
        <w:rPr>
          <w:rFonts w:ascii="Times New Roman" w:hAnsi="Times New Roman" w:cs="Times New Roman"/>
          <w:sz w:val="28"/>
          <w:szCs w:val="28"/>
        </w:rPr>
        <w:t>мероприятий</w:t>
      </w:r>
      <w:r w:rsidR="00794617" w:rsidRPr="00965DEC">
        <w:rPr>
          <w:rFonts w:ascii="Times New Roman" w:hAnsi="Times New Roman" w:cs="Times New Roman"/>
          <w:sz w:val="28"/>
          <w:szCs w:val="28"/>
        </w:rPr>
        <w:t xml:space="preserve"> </w:t>
      </w:r>
      <w:r w:rsidRPr="00965DEC">
        <w:rPr>
          <w:rFonts w:ascii="Times New Roman" w:hAnsi="Times New Roman" w:cs="Times New Roman"/>
          <w:sz w:val="28"/>
          <w:szCs w:val="28"/>
        </w:rPr>
        <w:t xml:space="preserve">по реализации приоритетных направлений деятельности </w:t>
      </w:r>
    </w:p>
    <w:p w:rsidR="001B24EB" w:rsidRPr="00965DEC" w:rsidRDefault="004E3EC8" w:rsidP="00965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DEC">
        <w:rPr>
          <w:rFonts w:ascii="Times New Roman" w:hAnsi="Times New Roman" w:cs="Times New Roman"/>
          <w:sz w:val="28"/>
          <w:szCs w:val="28"/>
        </w:rPr>
        <w:t>Агентства по науке Республики Тыва на 2022 год</w:t>
      </w:r>
    </w:p>
    <w:p w:rsidR="001B24EB" w:rsidRPr="00965DEC" w:rsidRDefault="001B24EB" w:rsidP="00965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9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00" w:firstRow="0" w:lastRow="0" w:firstColumn="0" w:lastColumn="0" w:noHBand="0" w:noVBand="1"/>
      </w:tblPr>
      <w:tblGrid>
        <w:gridCol w:w="5351"/>
        <w:gridCol w:w="1662"/>
        <w:gridCol w:w="3516"/>
        <w:gridCol w:w="5387"/>
      </w:tblGrid>
      <w:tr w:rsidR="00965DEC" w:rsidRPr="00965DEC" w:rsidTr="001A738D">
        <w:trPr>
          <w:tblHeader/>
          <w:jc w:val="center"/>
        </w:trPr>
        <w:tc>
          <w:tcPr>
            <w:tcW w:w="5351" w:type="dxa"/>
          </w:tcPr>
          <w:p w:rsidR="00965DEC" w:rsidRPr="00965DEC" w:rsidRDefault="00965DEC" w:rsidP="0096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2" w:type="dxa"/>
          </w:tcPr>
          <w:p w:rsidR="00965DEC" w:rsidRDefault="00965DEC" w:rsidP="0096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965DEC" w:rsidRPr="00965DEC" w:rsidRDefault="00965DEC" w:rsidP="0096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516" w:type="dxa"/>
          </w:tcPr>
          <w:p w:rsidR="00965DEC" w:rsidRPr="00965DEC" w:rsidRDefault="00965DEC" w:rsidP="0096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965DEC" w:rsidRPr="00965DEC" w:rsidRDefault="00965DEC" w:rsidP="0096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5387" w:type="dxa"/>
          </w:tcPr>
          <w:p w:rsidR="00965DEC" w:rsidRPr="00965DEC" w:rsidRDefault="00965DEC" w:rsidP="0096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965DEC" w:rsidRPr="00965DEC" w:rsidTr="0070406C">
        <w:trPr>
          <w:jc w:val="center"/>
        </w:trPr>
        <w:tc>
          <w:tcPr>
            <w:tcW w:w="15916" w:type="dxa"/>
            <w:gridSpan w:val="4"/>
          </w:tcPr>
          <w:p w:rsidR="00965DEC" w:rsidRPr="00965DEC" w:rsidRDefault="00965DEC" w:rsidP="0096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1. </w:t>
            </w:r>
            <w:r w:rsidRPr="00965DE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Формирование эффективной современной системы управления в области науки, технологий и инноваций</w:t>
            </w:r>
          </w:p>
        </w:tc>
      </w:tr>
      <w:tr w:rsidR="00965DEC" w:rsidRPr="00965DEC" w:rsidTr="001A738D">
        <w:trPr>
          <w:jc w:val="center"/>
        </w:trPr>
        <w:tc>
          <w:tcPr>
            <w:tcW w:w="5351" w:type="dxa"/>
          </w:tcPr>
          <w:p w:rsidR="00965DEC" w:rsidRPr="00965DEC" w:rsidRDefault="00965DEC" w:rsidP="0096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1.1. Разработка государственной программы Республики Тыва «Развитие науки и технологий в</w:t>
            </w:r>
            <w:r w:rsidR="00E45EC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Республике Тыва в 2023-2030 годы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62" w:type="dxa"/>
          </w:tcPr>
          <w:p w:rsidR="00965DEC" w:rsidRPr="00965DEC" w:rsidRDefault="00942454" w:rsidP="0096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516" w:type="dxa"/>
          </w:tcPr>
          <w:p w:rsidR="00965DEC" w:rsidRPr="00965DEC" w:rsidRDefault="00965DEC" w:rsidP="0096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Агентств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 по науке Республики Тыва,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ического 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промышленности 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здрав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оохранения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5387" w:type="dxa"/>
          </w:tcPr>
          <w:p w:rsidR="00965DEC" w:rsidRPr="00965DEC" w:rsidRDefault="0070406C" w:rsidP="0096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65DEC"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тверждение государственной программы Республики Тыва «Развитие науки и технологий в Республике Тыва в 2023-2030 </w:t>
            </w:r>
            <w:r w:rsidR="00E45EC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965DEC" w:rsidRPr="00965D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5DEC" w:rsidRPr="00965DEC" w:rsidTr="001A738D">
        <w:trPr>
          <w:jc w:val="center"/>
        </w:trPr>
        <w:tc>
          <w:tcPr>
            <w:tcW w:w="5351" w:type="dxa"/>
          </w:tcPr>
          <w:p w:rsidR="00965DEC" w:rsidRPr="00965DEC" w:rsidRDefault="00965DEC" w:rsidP="0096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1.2. Формирование и ведение единой информационной системы учета научно-исследовательских, опытно-конструкторских и технологических работ гражданского назначения организациями, подведомственными Агентству по науке Республики Тыва</w:t>
            </w:r>
            <w:r w:rsidR="00DB13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научными и научно-образовательными организациями на территории Республики Тыва</w:t>
            </w:r>
          </w:p>
        </w:tc>
        <w:tc>
          <w:tcPr>
            <w:tcW w:w="1662" w:type="dxa"/>
          </w:tcPr>
          <w:p w:rsidR="00965DEC" w:rsidRPr="00942454" w:rsidRDefault="00942454" w:rsidP="0096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516" w:type="dxa"/>
          </w:tcPr>
          <w:p w:rsidR="00965DEC" w:rsidRPr="00965DEC" w:rsidRDefault="00965DEC" w:rsidP="0070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Агентств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 по науке Республики Тыва, </w:t>
            </w:r>
            <w:r w:rsidR="0070406C" w:rsidRPr="00965DE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="0070406C" w:rsidRPr="00965DEC"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ического </w:t>
            </w:r>
            <w:r w:rsidR="0070406C"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и промышленности </w:t>
            </w:r>
            <w:r w:rsidR="0070406C" w:rsidRPr="00965D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70406C" w:rsidRPr="00965D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Тыва,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здрав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>оохранения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5387" w:type="dxa"/>
          </w:tcPr>
          <w:p w:rsidR="00965DEC" w:rsidRPr="00965DEC" w:rsidRDefault="0070406C" w:rsidP="0096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65DEC" w:rsidRPr="00965DEC">
              <w:rPr>
                <w:rFonts w:ascii="Times New Roman" w:hAnsi="Times New Roman" w:cs="Times New Roman"/>
                <w:sz w:val="24"/>
                <w:szCs w:val="24"/>
              </w:rPr>
              <w:t>аличие целостной системы устойчивого воспроизводства, привлечения и развития научных, инженерных и предпринимательских кадров (интеллектуального потенциала) для научно-технологического развития страны</w:t>
            </w:r>
          </w:p>
        </w:tc>
      </w:tr>
      <w:tr w:rsidR="00965DEC" w:rsidRPr="00965DEC" w:rsidTr="001A738D">
        <w:trPr>
          <w:jc w:val="center"/>
        </w:trPr>
        <w:tc>
          <w:tcPr>
            <w:tcW w:w="5351" w:type="dxa"/>
          </w:tcPr>
          <w:p w:rsidR="00965DEC" w:rsidRPr="00965DEC" w:rsidRDefault="00965DEC" w:rsidP="0096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1.3. Создание и реализация системы анализа и мониторинга эффективности научной и финансово-экономической деятельности республиканских научных учреждений Тувы и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использования их материально-технической базы</w:t>
            </w:r>
          </w:p>
          <w:p w:rsidR="00965DEC" w:rsidRPr="00965DEC" w:rsidRDefault="00965DEC" w:rsidP="0096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965DEC" w:rsidRPr="00965DEC" w:rsidRDefault="00965DEC" w:rsidP="0096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516" w:type="dxa"/>
          </w:tcPr>
          <w:p w:rsidR="00965DEC" w:rsidRPr="00965DEC" w:rsidRDefault="00965DEC" w:rsidP="0070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Агентств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 по науке Республики Тыва, </w:t>
            </w:r>
            <w:r w:rsidR="0070406C" w:rsidRPr="00965DE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="0070406C" w:rsidRPr="00965DEC"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ического </w:t>
            </w:r>
            <w:r w:rsidR="0070406C"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и промышленности </w:t>
            </w:r>
            <w:r w:rsidR="0070406C" w:rsidRPr="00965D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70406C" w:rsidRPr="00965D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,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стерство 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Тыва, Мин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здрав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оохранения 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5387" w:type="dxa"/>
          </w:tcPr>
          <w:p w:rsidR="00965DEC" w:rsidRPr="00965DEC" w:rsidRDefault="0070406C" w:rsidP="0096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965DEC" w:rsidRPr="00965DEC">
              <w:rPr>
                <w:rFonts w:ascii="Times New Roman" w:hAnsi="Times New Roman" w:cs="Times New Roman"/>
                <w:sz w:val="24"/>
                <w:szCs w:val="24"/>
              </w:rPr>
              <w:t>аличие системы эффективного взаимодействия и прозрачного финансирования субъектов научной, научно-технической и высокотехнологичной деятельности;</w:t>
            </w:r>
          </w:p>
          <w:p w:rsidR="00965DEC" w:rsidRPr="00965DEC" w:rsidRDefault="0070406C" w:rsidP="0096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965DEC" w:rsidRPr="00965DEC">
              <w:rPr>
                <w:rFonts w:ascii="Times New Roman" w:hAnsi="Times New Roman" w:cs="Times New Roman"/>
                <w:sz w:val="24"/>
                <w:szCs w:val="24"/>
              </w:rPr>
              <w:t>аличие системы мониторинга для анализа эффективности научной и финансово-экономической деятельности республиканских научных учреждений</w:t>
            </w:r>
          </w:p>
        </w:tc>
      </w:tr>
      <w:tr w:rsidR="00965DEC" w:rsidRPr="00965DEC" w:rsidTr="0070406C">
        <w:trPr>
          <w:jc w:val="center"/>
        </w:trPr>
        <w:tc>
          <w:tcPr>
            <w:tcW w:w="15916" w:type="dxa"/>
            <w:gridSpan w:val="4"/>
          </w:tcPr>
          <w:p w:rsidR="0070406C" w:rsidRDefault="0070406C" w:rsidP="0096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2</w:t>
            </w:r>
            <w:r w:rsidR="00965DEC" w:rsidRPr="00965DE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 Совершенствование условий для научной, научно-технической и инновационной </w:t>
            </w:r>
            <w:r w:rsidRPr="00965DE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деятельности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5DEC" w:rsidRPr="00965DEC" w:rsidRDefault="00965DEC" w:rsidP="0070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E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повышение востребованности научного потенциала в социально-экономическом развитии 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</w:tr>
      <w:tr w:rsidR="00965DEC" w:rsidRPr="00965DEC" w:rsidTr="001A738D">
        <w:trPr>
          <w:jc w:val="center"/>
        </w:trPr>
        <w:tc>
          <w:tcPr>
            <w:tcW w:w="5351" w:type="dxa"/>
          </w:tcPr>
          <w:p w:rsidR="00965DEC" w:rsidRPr="00965DEC" w:rsidRDefault="00965DEC" w:rsidP="0096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E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2.1. Содействие</w:t>
            </w:r>
            <w:r w:rsidR="0070406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965DE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 реализации научных и инновационных проектов и программ, реализуемых научными коллективами и отдельными учеными</w:t>
            </w:r>
          </w:p>
        </w:tc>
        <w:tc>
          <w:tcPr>
            <w:tcW w:w="1662" w:type="dxa"/>
          </w:tcPr>
          <w:p w:rsidR="00965DEC" w:rsidRPr="00965DEC" w:rsidRDefault="00965DEC" w:rsidP="0096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6" w:type="dxa"/>
          </w:tcPr>
          <w:p w:rsidR="00965DEC" w:rsidRPr="00965DEC" w:rsidRDefault="00965DEC" w:rsidP="0070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Агентств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 по науке Республики Тыва, </w:t>
            </w:r>
            <w:r w:rsidR="0070406C" w:rsidRPr="00965DE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="0070406C" w:rsidRPr="00965DEC"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ического </w:t>
            </w:r>
            <w:r w:rsidR="0070406C"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и промышленности </w:t>
            </w:r>
            <w:r w:rsidR="0070406C" w:rsidRPr="00965D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70406C" w:rsidRPr="00965D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здрав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>оохранения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Тыва, ФГБОУ ВО 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Тув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инский государственный университет» 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ECB">
              <w:rPr>
                <w:rFonts w:ascii="Times New Roman" w:hAnsi="Times New Roman" w:cs="Times New Roman"/>
                <w:sz w:val="24"/>
                <w:szCs w:val="24"/>
              </w:rPr>
              <w:t>ФГБУН «</w:t>
            </w:r>
            <w:r w:rsidR="0070406C" w:rsidRPr="0070406C">
              <w:rPr>
                <w:rFonts w:ascii="Times New Roman" w:hAnsi="Times New Roman" w:cs="Times New Roman"/>
                <w:sz w:val="24"/>
                <w:szCs w:val="24"/>
              </w:rPr>
              <w:t>Тувинский институт комплексного освоения природных ресурсов Сибирского отделения Российской академии наук</w:t>
            </w:r>
            <w:r w:rsidR="00E45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5ECB">
              <w:rPr>
                <w:rFonts w:ascii="Times New Roman" w:hAnsi="Times New Roman" w:cs="Times New Roman"/>
                <w:sz w:val="24"/>
                <w:szCs w:val="24"/>
              </w:rPr>
              <w:t>ФГБНУ «</w:t>
            </w:r>
            <w:r w:rsidR="0070406C" w:rsidRPr="0070406C">
              <w:rPr>
                <w:rFonts w:ascii="Times New Roman" w:hAnsi="Times New Roman" w:cs="Times New Roman"/>
                <w:sz w:val="24"/>
                <w:szCs w:val="24"/>
              </w:rPr>
              <w:t>Тувинский научно-исследователь</w:t>
            </w:r>
            <w:r w:rsidR="00E45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0406C" w:rsidRPr="0070406C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70406C" w:rsidRPr="0070406C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сельского хозяйства Российской академии сельскохозяйственных наук</w:t>
            </w:r>
            <w:r w:rsidR="00E45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406C" w:rsidRPr="00704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06C" w:rsidRPr="00965DE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387" w:type="dxa"/>
          </w:tcPr>
          <w:p w:rsidR="00965DEC" w:rsidRPr="00965DEC" w:rsidRDefault="0070406C" w:rsidP="0096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5DEC" w:rsidRPr="00965DEC">
              <w:rPr>
                <w:rFonts w:ascii="Times New Roman" w:hAnsi="Times New Roman" w:cs="Times New Roman"/>
                <w:sz w:val="24"/>
                <w:szCs w:val="24"/>
              </w:rPr>
              <w:t>казание содействия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DEC" w:rsidRPr="00965DEC">
              <w:rPr>
                <w:rFonts w:ascii="Times New Roman" w:hAnsi="Times New Roman" w:cs="Times New Roman"/>
                <w:sz w:val="24"/>
                <w:szCs w:val="24"/>
              </w:rPr>
              <w:t>не менее 3 научным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65DEC" w:rsidRPr="00965DE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65DEC"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инновационным проектам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65DEC" w:rsidRPr="00965DE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45EC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программам, реализуемым</w:t>
            </w:r>
            <w:r w:rsidR="00965DEC"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 научными коллективами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65DEC" w:rsidRPr="00965DE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65DEC"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отдельными учеными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DEC" w:rsidRPr="00965DEC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</w:tr>
      <w:tr w:rsidR="00965DEC" w:rsidRPr="00965DEC" w:rsidTr="001A738D">
        <w:trPr>
          <w:jc w:val="center"/>
        </w:trPr>
        <w:tc>
          <w:tcPr>
            <w:tcW w:w="5351" w:type="dxa"/>
          </w:tcPr>
          <w:p w:rsidR="00965DEC" w:rsidRPr="00965DEC" w:rsidRDefault="00965DEC" w:rsidP="0096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E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2.2. Совершенствование системы выявления и поддержки талантливой молодежи (молодых ученых и специалистов) и создание условий для её успешного участия в научной, научно-технологической и инновационной деятельности</w:t>
            </w:r>
          </w:p>
        </w:tc>
        <w:tc>
          <w:tcPr>
            <w:tcW w:w="1662" w:type="dxa"/>
          </w:tcPr>
          <w:p w:rsidR="00965DEC" w:rsidRPr="00965DEC" w:rsidRDefault="00965DEC" w:rsidP="0096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6" w:type="dxa"/>
          </w:tcPr>
          <w:p w:rsidR="00965DEC" w:rsidRPr="00965DEC" w:rsidRDefault="00965DEC" w:rsidP="0070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Агентств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 по науке Республики Тыва, </w:t>
            </w:r>
            <w:r w:rsidR="0070406C" w:rsidRPr="00965DE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="0070406C" w:rsidRPr="00965DEC"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ического </w:t>
            </w:r>
            <w:r w:rsidR="0070406C"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и промышленности </w:t>
            </w:r>
            <w:r w:rsidR="0070406C" w:rsidRPr="00965D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70406C" w:rsidRPr="00965D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70406C" w:rsidRPr="00965D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06C" w:rsidRPr="00965DE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="0070406C" w:rsidRPr="00965DEC">
              <w:rPr>
                <w:rFonts w:ascii="Times New Roman" w:hAnsi="Times New Roman" w:cs="Times New Roman"/>
                <w:sz w:val="24"/>
                <w:szCs w:val="24"/>
              </w:rPr>
              <w:t>здрав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>оохранения</w:t>
            </w:r>
            <w:r w:rsidR="0070406C"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70406C" w:rsidRPr="00965D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Тыва,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06C"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406C" w:rsidRPr="00965DEC">
              <w:rPr>
                <w:rFonts w:ascii="Times New Roman" w:hAnsi="Times New Roman" w:cs="Times New Roman"/>
                <w:sz w:val="24"/>
                <w:szCs w:val="24"/>
              </w:rPr>
              <w:t>Тув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инский государственный университет» </w:t>
            </w:r>
            <w:r w:rsidR="0070406C" w:rsidRPr="00965DE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ECB">
              <w:rPr>
                <w:rFonts w:ascii="Times New Roman" w:hAnsi="Times New Roman" w:cs="Times New Roman"/>
                <w:sz w:val="24"/>
                <w:szCs w:val="24"/>
              </w:rPr>
              <w:t>ФГБУН «</w:t>
            </w:r>
            <w:r w:rsidR="0070406C" w:rsidRPr="0070406C">
              <w:rPr>
                <w:rFonts w:ascii="Times New Roman" w:hAnsi="Times New Roman" w:cs="Times New Roman"/>
                <w:sz w:val="24"/>
                <w:szCs w:val="24"/>
              </w:rPr>
              <w:t>Тувинский институт комплексного освоения природных ресурсов Сибирского отделения Российской академии наук</w:t>
            </w:r>
            <w:r w:rsidR="00E45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5ECB">
              <w:rPr>
                <w:rFonts w:ascii="Times New Roman" w:hAnsi="Times New Roman" w:cs="Times New Roman"/>
                <w:sz w:val="24"/>
                <w:szCs w:val="24"/>
              </w:rPr>
              <w:t>ФГБНУ «</w:t>
            </w:r>
            <w:r w:rsidR="0070406C" w:rsidRPr="0070406C">
              <w:rPr>
                <w:rFonts w:ascii="Times New Roman" w:hAnsi="Times New Roman" w:cs="Times New Roman"/>
                <w:sz w:val="24"/>
                <w:szCs w:val="24"/>
              </w:rPr>
              <w:t>Тувинский научно-исследователь</w:t>
            </w:r>
            <w:r w:rsidR="00E45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0406C" w:rsidRPr="0070406C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70406C" w:rsidRPr="0070406C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сельского хозяйства Российской академии сельскохозяйственных наук</w:t>
            </w:r>
            <w:r w:rsidR="00E45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406C" w:rsidRPr="00704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06C" w:rsidRPr="00965DE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387" w:type="dxa"/>
          </w:tcPr>
          <w:p w:rsidR="00965DEC" w:rsidRPr="00965DEC" w:rsidRDefault="0070406C" w:rsidP="0096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965DEC" w:rsidRPr="00965DEC">
              <w:rPr>
                <w:rFonts w:ascii="Times New Roman" w:hAnsi="Times New Roman" w:cs="Times New Roman"/>
                <w:sz w:val="24"/>
                <w:szCs w:val="24"/>
              </w:rPr>
              <w:t>ктуализ</w:t>
            </w:r>
            <w:r w:rsidR="00E45ECB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="00965DEC"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 w:rsidR="00E45E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5DEC"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нормативно-правовых актов по поддержке молодых ученых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5DEC" w:rsidRPr="00965DEC" w:rsidRDefault="0070406C" w:rsidP="0096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E45ECB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 w:rsidR="00965DEC"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 мероприятий, направленных на выявление и поддержку талантливой молодежи (молодых ученых и специалистов) Республики Тыва</w:t>
            </w:r>
          </w:p>
        </w:tc>
      </w:tr>
      <w:tr w:rsidR="00965DEC" w:rsidRPr="00965DEC" w:rsidTr="001A738D">
        <w:trPr>
          <w:jc w:val="center"/>
        </w:trPr>
        <w:tc>
          <w:tcPr>
            <w:tcW w:w="5351" w:type="dxa"/>
          </w:tcPr>
          <w:p w:rsidR="00965DEC" w:rsidRPr="00965DEC" w:rsidRDefault="00965DEC" w:rsidP="0096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 Координация и сопровождение реализации пилотного проекта по созданию карбоновых полигонов для разработки и испытаний технологий контроля углеродного баланса</w:t>
            </w:r>
          </w:p>
        </w:tc>
        <w:tc>
          <w:tcPr>
            <w:tcW w:w="1662" w:type="dxa"/>
          </w:tcPr>
          <w:p w:rsidR="00965DEC" w:rsidRPr="00965DEC" w:rsidRDefault="00965DEC" w:rsidP="0096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6" w:type="dxa"/>
          </w:tcPr>
          <w:p w:rsidR="00965DEC" w:rsidRPr="00965DEC" w:rsidRDefault="00965DEC" w:rsidP="0070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Агентств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 по науке Республики Тыва, </w:t>
            </w:r>
            <w:r w:rsidR="0070406C" w:rsidRPr="00965DE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="0070406C" w:rsidRPr="00965DEC"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ического </w:t>
            </w:r>
            <w:r w:rsidR="0070406C"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и промышленности </w:t>
            </w:r>
            <w:r w:rsidR="0070406C" w:rsidRPr="00965D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70406C" w:rsidRPr="00965D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406C" w:rsidRPr="0070406C">
              <w:rPr>
                <w:rFonts w:ascii="Times New Roman" w:hAnsi="Times New Roman" w:cs="Times New Roman"/>
                <w:sz w:val="24"/>
                <w:szCs w:val="24"/>
              </w:rPr>
              <w:t>Министерство лесного хозяйства и природопользования Республики Тыва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06C"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406C" w:rsidRPr="00965DEC">
              <w:rPr>
                <w:rFonts w:ascii="Times New Roman" w:hAnsi="Times New Roman" w:cs="Times New Roman"/>
                <w:sz w:val="24"/>
                <w:szCs w:val="24"/>
              </w:rPr>
              <w:t>Тув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инский государственный университет» </w:t>
            </w:r>
            <w:r w:rsidR="0070406C" w:rsidRPr="00965DE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ECB">
              <w:rPr>
                <w:rFonts w:ascii="Times New Roman" w:hAnsi="Times New Roman" w:cs="Times New Roman"/>
                <w:sz w:val="24"/>
                <w:szCs w:val="24"/>
              </w:rPr>
              <w:t>ФГБУН «</w:t>
            </w:r>
            <w:r w:rsidR="0070406C" w:rsidRPr="0070406C">
              <w:rPr>
                <w:rFonts w:ascii="Times New Roman" w:hAnsi="Times New Roman" w:cs="Times New Roman"/>
                <w:sz w:val="24"/>
                <w:szCs w:val="24"/>
              </w:rPr>
              <w:t>Тувинский институт комплексного освоения природных ресурсов Сибирского отделения Российской академии наук</w:t>
            </w:r>
            <w:r w:rsidR="00E45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387" w:type="dxa"/>
          </w:tcPr>
          <w:p w:rsidR="00965DEC" w:rsidRPr="00965DEC" w:rsidRDefault="0070406C" w:rsidP="0096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5DEC" w:rsidRPr="00965DEC">
              <w:rPr>
                <w:rFonts w:ascii="Times New Roman" w:hAnsi="Times New Roman" w:cs="Times New Roman"/>
                <w:sz w:val="24"/>
                <w:szCs w:val="24"/>
              </w:rPr>
              <w:t>олучен</w:t>
            </w:r>
            <w:r w:rsidR="00E45EC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965DEC"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 новы</w:t>
            </w:r>
            <w:r w:rsidR="00E45EC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65DEC"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 фундаментальны</w:t>
            </w:r>
            <w:r w:rsidR="00E45EC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65DEC"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E45EC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65DEC" w:rsidRPr="00965DEC">
              <w:rPr>
                <w:rFonts w:ascii="Times New Roman" w:hAnsi="Times New Roman" w:cs="Times New Roman"/>
                <w:sz w:val="24"/>
                <w:szCs w:val="24"/>
              </w:rPr>
              <w:t>, необходимы</w:t>
            </w:r>
            <w:r w:rsidR="00E45EC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65DEC"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 для долгосрочного развития общества и государства, создан</w:t>
            </w:r>
            <w:r w:rsidR="00E45EC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965DEC"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</w:t>
            </w:r>
            <w:r w:rsidR="00E45EC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965DEC"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E45E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65DEC"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таких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зультатов;</w:t>
            </w:r>
          </w:p>
          <w:p w:rsidR="00965DEC" w:rsidRPr="00965DEC" w:rsidRDefault="0070406C" w:rsidP="00E4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5DEC" w:rsidRPr="00965DEC">
              <w:rPr>
                <w:rFonts w:ascii="Times New Roman" w:hAnsi="Times New Roman" w:cs="Times New Roman"/>
                <w:sz w:val="24"/>
                <w:szCs w:val="24"/>
              </w:rPr>
              <w:t>беспечен</w:t>
            </w:r>
            <w:r w:rsidR="00E45EC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965DEC"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 w:rsidR="00E45E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65DEC"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в национальном проекте «Наука и университеты»</w:t>
            </w:r>
          </w:p>
        </w:tc>
      </w:tr>
    </w:tbl>
    <w:p w:rsidR="00E45ECB" w:rsidRDefault="00E45ECB">
      <w:r>
        <w:br w:type="page"/>
      </w:r>
    </w:p>
    <w:tbl>
      <w:tblPr>
        <w:tblStyle w:val="a8"/>
        <w:tblW w:w="159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00" w:firstRow="0" w:lastRow="0" w:firstColumn="0" w:lastColumn="0" w:noHBand="0" w:noVBand="1"/>
      </w:tblPr>
      <w:tblGrid>
        <w:gridCol w:w="5351"/>
        <w:gridCol w:w="1662"/>
        <w:gridCol w:w="3516"/>
        <w:gridCol w:w="5387"/>
      </w:tblGrid>
      <w:tr w:rsidR="00E45ECB" w:rsidRPr="00965DEC" w:rsidTr="00E922BB">
        <w:trPr>
          <w:tblHeader/>
          <w:jc w:val="center"/>
        </w:trPr>
        <w:tc>
          <w:tcPr>
            <w:tcW w:w="5351" w:type="dxa"/>
          </w:tcPr>
          <w:p w:rsidR="00E45ECB" w:rsidRPr="00965DEC" w:rsidRDefault="00E45ECB" w:rsidP="00E9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662" w:type="dxa"/>
          </w:tcPr>
          <w:p w:rsidR="00E45ECB" w:rsidRDefault="00E45ECB" w:rsidP="00E9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E45ECB" w:rsidRPr="00965DEC" w:rsidRDefault="00E45ECB" w:rsidP="00E9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516" w:type="dxa"/>
          </w:tcPr>
          <w:p w:rsidR="00E45ECB" w:rsidRPr="00965DEC" w:rsidRDefault="00E45ECB" w:rsidP="00E9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E45ECB" w:rsidRPr="00965DEC" w:rsidRDefault="00E45ECB" w:rsidP="00E9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5387" w:type="dxa"/>
          </w:tcPr>
          <w:p w:rsidR="00E45ECB" w:rsidRPr="00965DEC" w:rsidRDefault="00E45ECB" w:rsidP="00E92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965DEC" w:rsidRPr="00965DEC" w:rsidTr="0070406C">
        <w:trPr>
          <w:jc w:val="center"/>
        </w:trPr>
        <w:tc>
          <w:tcPr>
            <w:tcW w:w="15916" w:type="dxa"/>
            <w:gridSpan w:val="4"/>
          </w:tcPr>
          <w:p w:rsidR="0070406C" w:rsidRDefault="0070406C" w:rsidP="0096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5DEC"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Информационное продвижение науки, популяризация научной, </w:t>
            </w:r>
          </w:p>
          <w:p w:rsidR="00965DEC" w:rsidRPr="00965DEC" w:rsidRDefault="00965DEC" w:rsidP="0070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научно-технической и инновационной деятельности в Республике Тыва</w:t>
            </w:r>
          </w:p>
        </w:tc>
      </w:tr>
      <w:tr w:rsidR="00965DEC" w:rsidRPr="00965DEC" w:rsidTr="001A738D">
        <w:trPr>
          <w:jc w:val="center"/>
        </w:trPr>
        <w:tc>
          <w:tcPr>
            <w:tcW w:w="5351" w:type="dxa"/>
            <w:tcBorders>
              <w:right w:val="single" w:sz="4" w:space="0" w:color="auto"/>
            </w:tcBorders>
          </w:tcPr>
          <w:p w:rsidR="00965DEC" w:rsidRPr="00965DEC" w:rsidRDefault="00965DEC" w:rsidP="0096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3.1. Привлечение к деятельности и обеспечение активного участия ученых Тувы в научно-просветительских мероприятиях РО «Знание»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</w:tcPr>
          <w:p w:rsidR="00965DEC" w:rsidRPr="00965DEC" w:rsidRDefault="00965DEC" w:rsidP="0096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6" w:type="dxa"/>
            <w:tcBorders>
              <w:left w:val="single" w:sz="4" w:space="0" w:color="auto"/>
              <w:right w:val="single" w:sz="4" w:space="0" w:color="auto"/>
            </w:tcBorders>
          </w:tcPr>
          <w:p w:rsidR="00965DEC" w:rsidRPr="00965DEC" w:rsidRDefault="00965DEC" w:rsidP="0070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Агентств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 по науке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Тыва,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06C"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406C" w:rsidRPr="00965DEC">
              <w:rPr>
                <w:rFonts w:ascii="Times New Roman" w:hAnsi="Times New Roman" w:cs="Times New Roman"/>
                <w:sz w:val="24"/>
                <w:szCs w:val="24"/>
              </w:rPr>
              <w:t>Тув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инский государственный университет» </w:t>
            </w:r>
            <w:r w:rsidR="0070406C" w:rsidRPr="00965DE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ECB">
              <w:rPr>
                <w:rFonts w:ascii="Times New Roman" w:hAnsi="Times New Roman" w:cs="Times New Roman"/>
                <w:sz w:val="24"/>
                <w:szCs w:val="24"/>
              </w:rPr>
              <w:t>ФГБУН «</w:t>
            </w:r>
            <w:r w:rsidR="0070406C" w:rsidRPr="0070406C">
              <w:rPr>
                <w:rFonts w:ascii="Times New Roman" w:hAnsi="Times New Roman" w:cs="Times New Roman"/>
                <w:sz w:val="24"/>
                <w:szCs w:val="24"/>
              </w:rPr>
              <w:t>Тувинский институт комплексного освоения природных ресурсов Сибирского отделения Российской академии наук</w:t>
            </w:r>
            <w:r w:rsidR="00E45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ECB">
              <w:rPr>
                <w:rFonts w:ascii="Times New Roman" w:hAnsi="Times New Roman" w:cs="Times New Roman"/>
                <w:sz w:val="24"/>
                <w:szCs w:val="24"/>
              </w:rPr>
              <w:t>ФГБНУ «</w:t>
            </w:r>
            <w:r w:rsidR="0070406C" w:rsidRPr="0070406C">
              <w:rPr>
                <w:rFonts w:ascii="Times New Roman" w:hAnsi="Times New Roman" w:cs="Times New Roman"/>
                <w:sz w:val="24"/>
                <w:szCs w:val="24"/>
              </w:rPr>
              <w:t>Тувинский научно-исследовательский институт сельского хозяйства Российской академии сельскохозяйственных наук</w:t>
            </w:r>
            <w:r w:rsidR="00E45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406C" w:rsidRPr="00704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06C" w:rsidRPr="00965DE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965DEC" w:rsidRPr="00965DEC" w:rsidRDefault="00E45ECB" w:rsidP="0096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1A73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65DEC" w:rsidRPr="00965DEC">
              <w:rPr>
                <w:rFonts w:ascii="Times New Roman" w:hAnsi="Times New Roman" w:cs="Times New Roman"/>
                <w:sz w:val="24"/>
                <w:szCs w:val="24"/>
              </w:rPr>
              <w:t>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5DEC"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 лекторов, участвующих в научно-просветительских мероприятиях РО «Знание», до 30 чело</w:t>
            </w:r>
            <w:r w:rsidR="001A738D">
              <w:rPr>
                <w:rFonts w:ascii="Times New Roman" w:hAnsi="Times New Roman" w:cs="Times New Roman"/>
                <w:sz w:val="24"/>
                <w:szCs w:val="24"/>
              </w:rPr>
              <w:t>век;</w:t>
            </w:r>
          </w:p>
          <w:p w:rsidR="00965DEC" w:rsidRPr="00965DEC" w:rsidRDefault="001A738D" w:rsidP="0096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5DEC" w:rsidRPr="00965DEC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 w:rsidR="0054364A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965DEC"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DEC"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научно-просветительских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5DEC"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 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 РО «Знание»;</w:t>
            </w:r>
          </w:p>
          <w:p w:rsidR="00965DEC" w:rsidRPr="00965DEC" w:rsidRDefault="00E45ECB" w:rsidP="0096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5DEC"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в науч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но-просветительских мероприятий</w:t>
            </w:r>
            <w:r w:rsidR="00965DEC"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рамках  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«Знание», до</w:t>
            </w:r>
            <w:r w:rsidR="001A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DEC"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300 чел. </w:t>
            </w:r>
          </w:p>
        </w:tc>
      </w:tr>
      <w:tr w:rsidR="00965DEC" w:rsidRPr="00965DEC" w:rsidTr="001A738D">
        <w:trPr>
          <w:jc w:val="center"/>
        </w:trPr>
        <w:tc>
          <w:tcPr>
            <w:tcW w:w="5351" w:type="dxa"/>
            <w:tcBorders>
              <w:right w:val="single" w:sz="4" w:space="0" w:color="auto"/>
            </w:tcBorders>
          </w:tcPr>
          <w:p w:rsidR="00965DEC" w:rsidRPr="00965DEC" w:rsidRDefault="00965DEC" w:rsidP="0096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3.2. Создание системы по популяризации образа жизни ученых, инженеров и технологических пред</w:t>
            </w:r>
            <w:r w:rsidR="001A738D">
              <w:rPr>
                <w:rFonts w:ascii="Times New Roman" w:hAnsi="Times New Roman" w:cs="Times New Roman"/>
                <w:sz w:val="24"/>
                <w:szCs w:val="24"/>
              </w:rPr>
              <w:t>принимателей в стиле «</w:t>
            </w:r>
            <w:proofErr w:type="spellStart"/>
            <w:r w:rsidR="001A738D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="001A738D">
              <w:rPr>
                <w:rFonts w:ascii="Times New Roman" w:hAnsi="Times New Roman" w:cs="Times New Roman"/>
                <w:sz w:val="24"/>
                <w:szCs w:val="24"/>
              </w:rPr>
              <w:t>-поп»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</w:tcPr>
          <w:p w:rsidR="00965DEC" w:rsidRPr="00965DEC" w:rsidRDefault="00965DEC" w:rsidP="0096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6" w:type="dxa"/>
            <w:tcBorders>
              <w:left w:val="single" w:sz="4" w:space="0" w:color="auto"/>
              <w:right w:val="single" w:sz="4" w:space="0" w:color="auto"/>
            </w:tcBorders>
          </w:tcPr>
          <w:p w:rsidR="00965DEC" w:rsidRPr="00965DEC" w:rsidRDefault="00965DEC" w:rsidP="0070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Агентств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 по науке Республики Тыва,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Тыва, Мин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цифр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>ового р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06C"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406C" w:rsidRPr="00965DEC">
              <w:rPr>
                <w:rFonts w:ascii="Times New Roman" w:hAnsi="Times New Roman" w:cs="Times New Roman"/>
                <w:sz w:val="24"/>
                <w:szCs w:val="24"/>
              </w:rPr>
              <w:t>Тув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инский государственный университет» </w:t>
            </w:r>
            <w:r w:rsidR="0070406C" w:rsidRPr="00965DE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ECB">
              <w:rPr>
                <w:rFonts w:ascii="Times New Roman" w:hAnsi="Times New Roman" w:cs="Times New Roman"/>
                <w:sz w:val="24"/>
                <w:szCs w:val="24"/>
              </w:rPr>
              <w:t>ФГБУН «</w:t>
            </w:r>
            <w:r w:rsidR="0070406C" w:rsidRPr="0070406C">
              <w:rPr>
                <w:rFonts w:ascii="Times New Roman" w:hAnsi="Times New Roman" w:cs="Times New Roman"/>
                <w:sz w:val="24"/>
                <w:szCs w:val="24"/>
              </w:rPr>
              <w:t>Тувинский институт комплексного освоения природных ресурсов Сибирского отделения Российской академии наук</w:t>
            </w:r>
            <w:r w:rsidR="00E45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406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E45ECB">
              <w:rPr>
                <w:rFonts w:ascii="Times New Roman" w:hAnsi="Times New Roman" w:cs="Times New Roman"/>
                <w:sz w:val="24"/>
                <w:szCs w:val="24"/>
              </w:rPr>
              <w:t>, ФГБНУ «</w:t>
            </w:r>
            <w:r w:rsidR="0070406C" w:rsidRPr="0070406C">
              <w:rPr>
                <w:rFonts w:ascii="Times New Roman" w:hAnsi="Times New Roman" w:cs="Times New Roman"/>
                <w:sz w:val="24"/>
                <w:szCs w:val="24"/>
              </w:rPr>
              <w:t xml:space="preserve">Тувинский </w:t>
            </w:r>
            <w:r w:rsidR="0070406C" w:rsidRPr="00704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научно-исследовательский институт сельского хозяйства Российской академии сельскохозяйственных наук</w:t>
            </w:r>
            <w:r w:rsidR="00E45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406C" w:rsidRPr="00704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DE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965DEC" w:rsidRPr="00965DEC" w:rsidRDefault="001A738D" w:rsidP="0096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965DEC" w:rsidRPr="00965DEC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 w:rsidR="00E45EC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965DEC" w:rsidRPr="00965DEC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 мероприятий по обеспечению высокого престижа научно-технологической деятельности, формирование понимания ценности результатов интеллектуального труда, 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DEC" w:rsidRPr="00965DEC">
              <w:rPr>
                <w:rFonts w:ascii="Times New Roman" w:hAnsi="Times New Roman" w:cs="Times New Roman"/>
                <w:sz w:val="24"/>
                <w:szCs w:val="24"/>
              </w:rPr>
              <w:t>восприимчивости общества и экономики к инно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вациям</w:t>
            </w:r>
          </w:p>
          <w:p w:rsidR="00965DEC" w:rsidRPr="00965DEC" w:rsidRDefault="00965DEC" w:rsidP="0096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9E8" w:rsidRDefault="000969E8" w:rsidP="000969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24EB" w:rsidRPr="00572B24" w:rsidRDefault="001B24EB" w:rsidP="00965DEC">
      <w:pPr>
        <w:pStyle w:val="a9"/>
        <w:spacing w:before="0" w:beforeAutospacing="0" w:after="0" w:afterAutospacing="0"/>
        <w:jc w:val="center"/>
      </w:pPr>
    </w:p>
    <w:sectPr w:rsidR="001B24EB" w:rsidRPr="00572B24" w:rsidSect="0070406C">
      <w:pgSz w:w="16838" w:h="11906" w:orient="landscape"/>
      <w:pgMar w:top="1134" w:right="567" w:bottom="1134" w:left="567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143" w:rsidRDefault="007A0143" w:rsidP="00965DEC">
      <w:pPr>
        <w:spacing w:after="0" w:line="240" w:lineRule="auto"/>
      </w:pPr>
      <w:r>
        <w:separator/>
      </w:r>
    </w:p>
  </w:endnote>
  <w:endnote w:type="continuationSeparator" w:id="0">
    <w:p w:rsidR="007A0143" w:rsidRDefault="007A0143" w:rsidP="0096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86" w:rsidRDefault="0077238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86" w:rsidRDefault="0077238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86" w:rsidRDefault="0077238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143" w:rsidRDefault="007A0143" w:rsidP="00965DEC">
      <w:pPr>
        <w:spacing w:after="0" w:line="240" w:lineRule="auto"/>
      </w:pPr>
      <w:r>
        <w:separator/>
      </w:r>
    </w:p>
  </w:footnote>
  <w:footnote w:type="continuationSeparator" w:id="0">
    <w:p w:rsidR="007A0143" w:rsidRDefault="007A0143" w:rsidP="00965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86" w:rsidRDefault="0077238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821"/>
    </w:sdtPr>
    <w:sdtEndPr>
      <w:rPr>
        <w:rFonts w:ascii="Times New Roman" w:hAnsi="Times New Roman" w:cs="Times New Roman"/>
        <w:sz w:val="24"/>
        <w:szCs w:val="24"/>
      </w:rPr>
    </w:sdtEndPr>
    <w:sdtContent>
      <w:p w:rsidR="0070406C" w:rsidRPr="00965DEC" w:rsidRDefault="004C2F4F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5D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0406C" w:rsidRPr="00965DE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5D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2A04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65D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86" w:rsidRDefault="0077238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B27EE"/>
    <w:multiLevelType w:val="hybridMultilevel"/>
    <w:tmpl w:val="2F2C075C"/>
    <w:lvl w:ilvl="0" w:tplc="E8FCC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D4EF0"/>
    <w:multiLevelType w:val="hybridMultilevel"/>
    <w:tmpl w:val="8088866C"/>
    <w:lvl w:ilvl="0" w:tplc="7E422C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57E9"/>
    <w:multiLevelType w:val="multilevel"/>
    <w:tmpl w:val="CD08328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0DC48D2"/>
    <w:multiLevelType w:val="hybridMultilevel"/>
    <w:tmpl w:val="A4027E7E"/>
    <w:lvl w:ilvl="0" w:tplc="E8FCC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633FCE"/>
    <w:multiLevelType w:val="hybridMultilevel"/>
    <w:tmpl w:val="1478B298"/>
    <w:lvl w:ilvl="0" w:tplc="E8FCC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337B27"/>
    <w:multiLevelType w:val="hybridMultilevel"/>
    <w:tmpl w:val="99F02720"/>
    <w:lvl w:ilvl="0" w:tplc="7E284C3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F2345"/>
    <w:multiLevelType w:val="hybridMultilevel"/>
    <w:tmpl w:val="FDD4721A"/>
    <w:lvl w:ilvl="0" w:tplc="19345E0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43f1496-16f1-4426-b0d1-0acf15e378ce"/>
  </w:docVars>
  <w:rsids>
    <w:rsidRoot w:val="001B24EB"/>
    <w:rsid w:val="000428DB"/>
    <w:rsid w:val="00044FEF"/>
    <w:rsid w:val="000969E8"/>
    <w:rsid w:val="000A18A6"/>
    <w:rsid w:val="000B5BC1"/>
    <w:rsid w:val="000C352E"/>
    <w:rsid w:val="00106851"/>
    <w:rsid w:val="00127D4C"/>
    <w:rsid w:val="001A738D"/>
    <w:rsid w:val="001B24EB"/>
    <w:rsid w:val="001B5BE9"/>
    <w:rsid w:val="0024665F"/>
    <w:rsid w:val="00260DE2"/>
    <w:rsid w:val="00261780"/>
    <w:rsid w:val="00290531"/>
    <w:rsid w:val="002A1408"/>
    <w:rsid w:val="002C4910"/>
    <w:rsid w:val="002E0223"/>
    <w:rsid w:val="002E588A"/>
    <w:rsid w:val="00326E79"/>
    <w:rsid w:val="00374BB2"/>
    <w:rsid w:val="00383DC1"/>
    <w:rsid w:val="00390817"/>
    <w:rsid w:val="003A231D"/>
    <w:rsid w:val="003B1D86"/>
    <w:rsid w:val="003E0C2D"/>
    <w:rsid w:val="00410BA5"/>
    <w:rsid w:val="00497EEA"/>
    <w:rsid w:val="004C2F4F"/>
    <w:rsid w:val="004D010B"/>
    <w:rsid w:val="004E3EC8"/>
    <w:rsid w:val="004E53AA"/>
    <w:rsid w:val="00532A04"/>
    <w:rsid w:val="00540D14"/>
    <w:rsid w:val="0054364A"/>
    <w:rsid w:val="00572B24"/>
    <w:rsid w:val="0058155A"/>
    <w:rsid w:val="005C3EE8"/>
    <w:rsid w:val="006229C4"/>
    <w:rsid w:val="00627F06"/>
    <w:rsid w:val="0064702D"/>
    <w:rsid w:val="006622AC"/>
    <w:rsid w:val="00695F6B"/>
    <w:rsid w:val="00696A4E"/>
    <w:rsid w:val="006B3277"/>
    <w:rsid w:val="006B4CCE"/>
    <w:rsid w:val="006E639A"/>
    <w:rsid w:val="006F64E0"/>
    <w:rsid w:val="0070406C"/>
    <w:rsid w:val="0071464F"/>
    <w:rsid w:val="007203F4"/>
    <w:rsid w:val="007404F1"/>
    <w:rsid w:val="007423F1"/>
    <w:rsid w:val="00770D7C"/>
    <w:rsid w:val="00772386"/>
    <w:rsid w:val="00794617"/>
    <w:rsid w:val="007A0143"/>
    <w:rsid w:val="007B07DC"/>
    <w:rsid w:val="007B5F38"/>
    <w:rsid w:val="007B7833"/>
    <w:rsid w:val="007E2F48"/>
    <w:rsid w:val="00813D81"/>
    <w:rsid w:val="00820F1A"/>
    <w:rsid w:val="008411AF"/>
    <w:rsid w:val="008544DA"/>
    <w:rsid w:val="008C01E4"/>
    <w:rsid w:val="008D4E5F"/>
    <w:rsid w:val="0090189D"/>
    <w:rsid w:val="00921AF0"/>
    <w:rsid w:val="009247CB"/>
    <w:rsid w:val="00927AAD"/>
    <w:rsid w:val="00942454"/>
    <w:rsid w:val="009527F7"/>
    <w:rsid w:val="00952F91"/>
    <w:rsid w:val="00964FCE"/>
    <w:rsid w:val="00965DEC"/>
    <w:rsid w:val="00972E08"/>
    <w:rsid w:val="009A736B"/>
    <w:rsid w:val="009A7491"/>
    <w:rsid w:val="009C62CF"/>
    <w:rsid w:val="009E0DF9"/>
    <w:rsid w:val="009E5A9D"/>
    <w:rsid w:val="00A12FBC"/>
    <w:rsid w:val="00A135F8"/>
    <w:rsid w:val="00A47924"/>
    <w:rsid w:val="00A508CA"/>
    <w:rsid w:val="00A70B9B"/>
    <w:rsid w:val="00AA1677"/>
    <w:rsid w:val="00AB11F5"/>
    <w:rsid w:val="00AB7443"/>
    <w:rsid w:val="00AC7003"/>
    <w:rsid w:val="00AD74F6"/>
    <w:rsid w:val="00B51B89"/>
    <w:rsid w:val="00B74AEF"/>
    <w:rsid w:val="00B75D36"/>
    <w:rsid w:val="00B926FD"/>
    <w:rsid w:val="00B96717"/>
    <w:rsid w:val="00BC5D58"/>
    <w:rsid w:val="00BF7793"/>
    <w:rsid w:val="00C133CB"/>
    <w:rsid w:val="00C22B09"/>
    <w:rsid w:val="00C53CA5"/>
    <w:rsid w:val="00CA2942"/>
    <w:rsid w:val="00CB27C4"/>
    <w:rsid w:val="00CB69A8"/>
    <w:rsid w:val="00CC6099"/>
    <w:rsid w:val="00CF788D"/>
    <w:rsid w:val="00D14C09"/>
    <w:rsid w:val="00D556B2"/>
    <w:rsid w:val="00D642C1"/>
    <w:rsid w:val="00D86C94"/>
    <w:rsid w:val="00D949CC"/>
    <w:rsid w:val="00DA441A"/>
    <w:rsid w:val="00DB0780"/>
    <w:rsid w:val="00DB13E4"/>
    <w:rsid w:val="00DC6727"/>
    <w:rsid w:val="00DF0D8D"/>
    <w:rsid w:val="00E20F59"/>
    <w:rsid w:val="00E3707A"/>
    <w:rsid w:val="00E40DEC"/>
    <w:rsid w:val="00E42DB1"/>
    <w:rsid w:val="00E45ECB"/>
    <w:rsid w:val="00E53BDB"/>
    <w:rsid w:val="00E578D0"/>
    <w:rsid w:val="00E957CC"/>
    <w:rsid w:val="00EB0006"/>
    <w:rsid w:val="00FB0146"/>
    <w:rsid w:val="00FC34D7"/>
    <w:rsid w:val="00FD1DFC"/>
    <w:rsid w:val="00FD3A34"/>
    <w:rsid w:val="00FE0641"/>
    <w:rsid w:val="00FF1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72AED2-D01F-4A8D-988D-16461974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FBC"/>
  </w:style>
  <w:style w:type="paragraph" w:styleId="1">
    <w:name w:val="heading 1"/>
    <w:basedOn w:val="a"/>
    <w:next w:val="a"/>
    <w:uiPriority w:val="9"/>
    <w:qFormat/>
    <w:rsid w:val="00A12F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A12F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12FB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12F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12FB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A12F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12F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12FB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7974C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74C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797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uiPriority w:val="11"/>
    <w:qFormat/>
    <w:rsid w:val="00A12F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A12FB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69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styleId="a9">
    <w:name w:val="Normal (Web)"/>
    <w:basedOn w:val="a"/>
    <w:uiPriority w:val="99"/>
    <w:unhideWhenUsed/>
    <w:rsid w:val="000B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0B5BC1"/>
    <w:rPr>
      <w:b/>
      <w:bCs/>
    </w:rPr>
  </w:style>
  <w:style w:type="paragraph" w:styleId="ab">
    <w:name w:val="header"/>
    <w:basedOn w:val="a"/>
    <w:link w:val="ac"/>
    <w:uiPriority w:val="99"/>
    <w:unhideWhenUsed/>
    <w:rsid w:val="00965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5DEC"/>
  </w:style>
  <w:style w:type="paragraph" w:styleId="ad">
    <w:name w:val="footer"/>
    <w:basedOn w:val="a"/>
    <w:link w:val="ae"/>
    <w:uiPriority w:val="99"/>
    <w:semiHidden/>
    <w:unhideWhenUsed/>
    <w:rsid w:val="00965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65DEC"/>
  </w:style>
  <w:style w:type="paragraph" w:styleId="af">
    <w:name w:val="Balloon Text"/>
    <w:basedOn w:val="a"/>
    <w:link w:val="af0"/>
    <w:uiPriority w:val="99"/>
    <w:semiHidden/>
    <w:unhideWhenUsed/>
    <w:rsid w:val="00E4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5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DYTIKuz2+vsffRkXpamgMlqjaw==">AMUW2mXlYqJZypBVAQmMF1BBDT+urfZCP6PmzkDI1NHW3h5QKokmyOb6Iqd/rpyObw7M102IlQ/FwjFC2dYwpylRvuFp2ulmY0bk08SZbMhuMix0KYpzUHSrmckR/b6Prct0v+ZGpzke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агентство</dc:creator>
  <cp:lastModifiedBy>Тас-оол Оксана Всеволодовна</cp:lastModifiedBy>
  <cp:revision>4</cp:revision>
  <cp:lastPrinted>2022-05-30T04:56:00Z</cp:lastPrinted>
  <dcterms:created xsi:type="dcterms:W3CDTF">2022-05-30T04:56:00Z</dcterms:created>
  <dcterms:modified xsi:type="dcterms:W3CDTF">2022-05-30T04:57:00Z</dcterms:modified>
</cp:coreProperties>
</file>