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5F2F4" w14:textId="2B73AA7B" w:rsidR="00E86C77" w:rsidRDefault="00E86C77" w:rsidP="00E86C7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F48A5" wp14:editId="74F7D14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061A" w14:textId="6223CB8F" w:rsidR="00E86C77" w:rsidRPr="00E86C77" w:rsidRDefault="00E86C77" w:rsidP="00E86C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620200099/29990(6)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AF5061A" w14:textId="6223CB8F" w:rsidR="00E86C77" w:rsidRPr="00E86C77" w:rsidRDefault="00E86C77" w:rsidP="00E86C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620200099/29990(6)</w:t>
                      </w:r>
                    </w:p>
                  </w:txbxContent>
                </v:textbox>
              </v:rect>
            </w:pict>
          </mc:Fallback>
        </mc:AlternateContent>
      </w:r>
    </w:p>
    <w:p w14:paraId="0F5FF40C" w14:textId="77777777" w:rsidR="00E86C77" w:rsidRDefault="00E86C77" w:rsidP="00E86C7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D77A6E4" w14:textId="77777777" w:rsidR="00E86C77" w:rsidRPr="00E86C77" w:rsidRDefault="00E86C77" w:rsidP="00E86C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91649D7" w14:textId="77777777" w:rsidR="00E86C77" w:rsidRPr="00E86C77" w:rsidRDefault="00E86C77" w:rsidP="00E86C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86C7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86C77">
        <w:rPr>
          <w:rFonts w:ascii="Times New Roman" w:eastAsia="Calibri" w:hAnsi="Times New Roman" w:cs="Times New Roman"/>
          <w:sz w:val="36"/>
          <w:szCs w:val="36"/>
        </w:rPr>
        <w:br/>
      </w:r>
      <w:r w:rsidRPr="00E86C7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71B96B8" w14:textId="77777777" w:rsidR="00E86C77" w:rsidRPr="00E86C77" w:rsidRDefault="00E86C77" w:rsidP="00E86C7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86C7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86C77">
        <w:rPr>
          <w:rFonts w:ascii="Times New Roman" w:eastAsia="Calibri" w:hAnsi="Times New Roman" w:cs="Times New Roman"/>
          <w:sz w:val="36"/>
          <w:szCs w:val="36"/>
        </w:rPr>
        <w:br/>
      </w:r>
      <w:r w:rsidRPr="00E86C7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DBEB98E" w14:textId="77777777" w:rsidR="0015091F" w:rsidRDefault="0015091F" w:rsidP="0015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14A5C" w14:textId="752D7B89" w:rsidR="0015091F" w:rsidRDefault="00B406B6" w:rsidP="00B40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2024 г. № 535</w:t>
      </w:r>
    </w:p>
    <w:p w14:paraId="400A40E0" w14:textId="026F2CD7" w:rsidR="00B406B6" w:rsidRPr="0015091F" w:rsidRDefault="00B406B6" w:rsidP="00B40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C7079BF" w14:textId="77777777" w:rsidR="0015091F" w:rsidRPr="0015091F" w:rsidRDefault="0015091F" w:rsidP="0015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4647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76938" w:rsidRPr="0015091F">
        <w:rPr>
          <w:rFonts w:ascii="Times New Roman" w:hAnsi="Times New Roman" w:cs="Times New Roman"/>
          <w:b/>
          <w:sz w:val="28"/>
          <w:szCs w:val="28"/>
        </w:rPr>
        <w:t>П</w:t>
      </w:r>
      <w:r w:rsidR="003C6738" w:rsidRPr="0015091F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62E776EE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</w:t>
      </w:r>
      <w:proofErr w:type="gramStart"/>
      <w:r w:rsidRPr="0015091F">
        <w:rPr>
          <w:rFonts w:ascii="Times New Roman" w:hAnsi="Times New Roman" w:cs="Times New Roman"/>
          <w:b/>
          <w:sz w:val="28"/>
          <w:szCs w:val="28"/>
        </w:rPr>
        <w:t>юридическим</w:t>
      </w:r>
      <w:proofErr w:type="gramEnd"/>
      <w:r w:rsidRPr="00150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F5F790" w14:textId="44D36281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лицам на технологическое присоединение </w:t>
      </w:r>
    </w:p>
    <w:p w14:paraId="7C76CC25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091F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15091F">
        <w:rPr>
          <w:rFonts w:ascii="Times New Roman" w:hAnsi="Times New Roman" w:cs="Times New Roman"/>
          <w:b/>
          <w:sz w:val="28"/>
          <w:szCs w:val="28"/>
        </w:rPr>
        <w:t xml:space="preserve"> устройств </w:t>
      </w:r>
      <w:proofErr w:type="gramStart"/>
      <w:r w:rsidRPr="0015091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50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380D2C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сетям, </w:t>
      </w:r>
      <w:proofErr w:type="gramStart"/>
      <w:r w:rsidRPr="0015091F">
        <w:rPr>
          <w:rFonts w:ascii="Times New Roman" w:hAnsi="Times New Roman" w:cs="Times New Roman"/>
          <w:b/>
          <w:sz w:val="28"/>
          <w:szCs w:val="28"/>
        </w:rPr>
        <w:t>выполняемое</w:t>
      </w:r>
      <w:proofErr w:type="gramEnd"/>
      <w:r w:rsidRPr="0015091F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14:paraId="09782880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реализации инвестиционных проектов </w:t>
      </w:r>
    </w:p>
    <w:p w14:paraId="2D09B922" w14:textId="77777777" w:rsid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>по организации добычи меди, молибдена</w:t>
      </w:r>
    </w:p>
    <w:p w14:paraId="1065A113" w14:textId="69101A00" w:rsidR="001D4917" w:rsidRPr="0015091F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1F">
        <w:rPr>
          <w:rFonts w:ascii="Times New Roman" w:hAnsi="Times New Roman" w:cs="Times New Roman"/>
          <w:b/>
          <w:sz w:val="28"/>
          <w:szCs w:val="28"/>
        </w:rPr>
        <w:t xml:space="preserve"> и попутных компонентов</w:t>
      </w:r>
    </w:p>
    <w:p w14:paraId="4656D2B8" w14:textId="77777777" w:rsidR="001D4917" w:rsidRDefault="001D4917" w:rsidP="0015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E9A17" w14:textId="77777777" w:rsidR="0015091F" w:rsidRPr="0015091F" w:rsidRDefault="0015091F" w:rsidP="00150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D6CBA" w14:textId="4C38DB7B" w:rsidR="004E189F" w:rsidRDefault="001D4917" w:rsidP="00C2229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 постановлением Правительств</w:t>
      </w:r>
      <w:r w:rsid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15 апреля 2014 г. № 328 </w:t>
      </w:r>
      <w:r w:rsidR="00CF10C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государственной программы Ро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</w:t>
      </w:r>
      <w:r w:rsidR="00CF10C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189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промышленности и повышение ее 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</w:t>
      </w:r>
      <w:r w:rsidR="00CF10C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14:paraId="224A7AC7" w14:textId="77777777" w:rsidR="00C22298" w:rsidRPr="00C22298" w:rsidRDefault="00C22298" w:rsidP="00C2229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B432C" w14:textId="27485A2A" w:rsidR="00DF5FFA" w:rsidRPr="00C22298" w:rsidRDefault="001D4917" w:rsidP="00C2229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субсидий юридическим лицам на технологическое присоединение энергопринимающих устройств к электрич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ским сетям, выполняемое в рамках реализации инвестиционных проектов по организации добычи меди, молибдена и попутных компонентов, утвержденн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F5FFA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</w:t>
      </w:r>
      <w:r w:rsidR="0091107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Тыва от 17 апреля 2020 г. № 169, следующие изменения:</w:t>
      </w:r>
    </w:p>
    <w:p w14:paraId="1A945ED8" w14:textId="1EE90563" w:rsidR="00AA3DD2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AA3DD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1:</w:t>
      </w:r>
    </w:p>
    <w:p w14:paraId="1F3E3A7D" w14:textId="2FC9DCF1" w:rsidR="005D4526" w:rsidRDefault="00AA3DD2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D2D7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1.5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2078553C" w14:textId="77777777" w:rsidR="002E348F" w:rsidRDefault="002E348F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1DF26" w14:textId="77777777" w:rsidR="00E86C77" w:rsidRDefault="00E86C77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AA63F" w14:textId="77777777" w:rsidR="00E86C77" w:rsidRPr="00C22298" w:rsidRDefault="00E86C77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68AB4" w14:textId="2DBA525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«1.5.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расходов, источником финансового обеспечения кот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рых является субсидия, осуществляется на реализацию мероприятий реги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нальной программы Республики Тыва «Энергоэффективность и развитие эне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гетики в Республике Тыва», утвержденной постановлением Правительства 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 w:rsidR="005D2D7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блики Тыва от 2 ноября 2023 г. №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792, предусматривающей создание энерг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тической инфраструктуры в рамках реализации инвестиционного проекта по организации добычи меди, молибдена и попутных компонентов на Ак-</w:t>
      </w:r>
      <w:proofErr w:type="spell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Сугском</w:t>
      </w:r>
      <w:proofErr w:type="spell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Тыва, в рамках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технологическое присоединение к электрическим сетям.</w:t>
      </w:r>
      <w:r w:rsidR="005D2D74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D2C5688" w14:textId="7088DF80" w:rsidR="00277E21" w:rsidRPr="00C22298" w:rsidRDefault="00D4161C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A3DD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77E21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пункт 1.7 изложить в следующей редакции:</w:t>
      </w:r>
    </w:p>
    <w:p w14:paraId="764C85C7" w14:textId="574DDA69" w:rsidR="005D4526" w:rsidRPr="00C22298" w:rsidRDefault="00AA3DD2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1.7. Субсидия предоставляется в размере на следующих этапах пред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субсидий, определяем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степени готовности объектов электроэнергетики, создаваемых в соответствии с договором об осуществлении технологического присоединения к электрическим сетям:</w:t>
      </w:r>
    </w:p>
    <w:p w14:paraId="3CCE77CE" w14:textId="5E9FCC70" w:rsidR="00CD2DC1" w:rsidRPr="00C22298" w:rsidRDefault="00CD2DC1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1 этап:</w:t>
      </w:r>
    </w:p>
    <w:p w14:paraId="70B52298" w14:textId="4EC3316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3000000</w:t>
      </w:r>
      <w:r w:rsidR="004E6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миллиарда) рублей 00 копеек;</w:t>
      </w:r>
    </w:p>
    <w:p w14:paraId="6FFD126F" w14:textId="7749AF8C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4000000</w:t>
      </w:r>
      <w:r w:rsidR="004E6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 миллиарда) рублей 00 копеек;</w:t>
      </w:r>
    </w:p>
    <w:p w14:paraId="5AB917D8" w14:textId="60913B2D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3000000</w:t>
      </w:r>
      <w:r w:rsidR="004E6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миллиарда) рублей 00 копеек;</w:t>
      </w:r>
    </w:p>
    <w:p w14:paraId="09D4AC7D" w14:textId="2042212E" w:rsidR="005D4526" w:rsidRPr="00C22298" w:rsidRDefault="00CD2DC1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4000000</w:t>
      </w:r>
      <w:r w:rsidR="004E6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 миллиарда) рублей 00 копеек;</w:t>
      </w:r>
    </w:p>
    <w:p w14:paraId="74F78B15" w14:textId="77777777" w:rsidR="0023586E" w:rsidRPr="00C22298" w:rsidRDefault="0023586E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 этап:</w:t>
      </w:r>
    </w:p>
    <w:p w14:paraId="15EFEE59" w14:textId="5DC71761" w:rsidR="0023586E" w:rsidRPr="00C22298" w:rsidRDefault="0023586E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4040404100 (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етыре миллиарда сорок миллионов четыреста четыре тысячи сто) рублей 00 копеек;</w:t>
      </w:r>
    </w:p>
    <w:p w14:paraId="1EDA3B4A" w14:textId="3725610B" w:rsidR="0023586E" w:rsidRPr="00C22298" w:rsidRDefault="0023586E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3 этап:</w:t>
      </w:r>
    </w:p>
    <w:p w14:paraId="1A5CB43E" w14:textId="737DF28B" w:rsidR="00875B9B" w:rsidRPr="00C22298" w:rsidRDefault="00CD2DC1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A73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6176000000 </w:t>
      </w:r>
      <w:r w:rsidR="0085017C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5A73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шесть миллиардов сто семьдесят шесть милл</w:t>
      </w:r>
      <w:r w:rsidR="008B5A73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5A73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онов</w:t>
      </w:r>
      <w:r w:rsidR="0085017C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75B9B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00 копеек</w:t>
      </w:r>
      <w:proofErr w:type="gramStart"/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875B9B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5AA0072D" w14:textId="05672DB5" w:rsidR="005D4526" w:rsidRPr="00C22298" w:rsidRDefault="00E41BAE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9">
        <w:r w:rsidR="005D4526" w:rsidRPr="00C22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2</w:t>
        </w:r>
      </w:hyperlink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08CCEDB" w14:textId="0676277E" w:rsidR="005D4526" w:rsidRPr="00C22298" w:rsidRDefault="005D4526" w:rsidP="002E348F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«2. Порядок проведения отбора получател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</w:p>
    <w:p w14:paraId="14E89A0D" w14:textId="77777777" w:rsidR="005D4526" w:rsidRPr="00C22298" w:rsidRDefault="005D4526" w:rsidP="002E348F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для предоставления субсидии</w:t>
      </w:r>
    </w:p>
    <w:p w14:paraId="3A6AAD2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89FD" w14:textId="37DA0B65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Получатель субсидии определяется Министерством по результатам отбора в форме запроса предложений (далее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отбор) в государственной инт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грированной информационной системе управления общественными финансами «Электронный бюджет»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система </w:t>
      </w:r>
      <w:r w:rsidR="00D0705D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F4854E" w14:textId="62EA494A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Участниками отбора являются юридические лица (за исключением государственных (муниципальных) учреждений), соответствующие следующим критериям (далее соответственно </w:t>
      </w:r>
      <w:r w:rsidR="002E3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получатели субсидии, заявители, участники отбора):</w:t>
      </w:r>
    </w:p>
    <w:p w14:paraId="32AAC55F" w14:textId="75D61A72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заявки и (</w:t>
      </w:r>
      <w:r w:rsidR="00D25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070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5E77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7DF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технологическое присоединение объектов электросетевого хозяйства к электрическим сетям в рамках реализ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ции инвестиционных проектов по организации добычи меди, молибдена и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путных компонентов на Ак-</w:t>
      </w:r>
      <w:proofErr w:type="spell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Сугском</w:t>
      </w:r>
      <w:proofErr w:type="spell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публике Тыва;</w:t>
      </w:r>
    </w:p>
    <w:p w14:paraId="5C62A4A7" w14:textId="7F44A819" w:rsidR="005D4526" w:rsidRPr="00C22298" w:rsidRDefault="005D4526" w:rsidP="00C22298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C22298">
        <w:rPr>
          <w:color w:val="000000" w:themeColor="text1"/>
          <w:sz w:val="28"/>
          <w:szCs w:val="28"/>
          <w:lang w:val="ru-RU"/>
        </w:rPr>
        <w:t>б) наличие прав пользовани</w:t>
      </w:r>
      <w:r w:rsidR="00C165C9">
        <w:rPr>
          <w:color w:val="000000" w:themeColor="text1"/>
          <w:sz w:val="28"/>
          <w:szCs w:val="28"/>
          <w:lang w:val="ru-RU"/>
        </w:rPr>
        <w:t>я</w:t>
      </w:r>
      <w:r w:rsidRPr="00C22298">
        <w:rPr>
          <w:color w:val="000000" w:themeColor="text1"/>
          <w:sz w:val="28"/>
          <w:szCs w:val="28"/>
          <w:lang w:val="ru-RU"/>
        </w:rPr>
        <w:t xml:space="preserve"> земельным участком (земельными участк</w:t>
      </w:r>
      <w:r w:rsidRPr="00C22298">
        <w:rPr>
          <w:color w:val="000000" w:themeColor="text1"/>
          <w:sz w:val="28"/>
          <w:szCs w:val="28"/>
          <w:lang w:val="ru-RU"/>
        </w:rPr>
        <w:t>а</w:t>
      </w:r>
      <w:r w:rsidRPr="00C22298">
        <w:rPr>
          <w:color w:val="000000" w:themeColor="text1"/>
          <w:sz w:val="28"/>
          <w:szCs w:val="28"/>
          <w:lang w:val="ru-RU"/>
        </w:rPr>
        <w:t>ми), предоставленным (предоставленными) для создания энергетической и</w:t>
      </w:r>
      <w:r w:rsidRPr="00C22298">
        <w:rPr>
          <w:color w:val="000000" w:themeColor="text1"/>
          <w:sz w:val="28"/>
          <w:szCs w:val="28"/>
          <w:lang w:val="ru-RU"/>
        </w:rPr>
        <w:t>н</w:t>
      </w:r>
      <w:r w:rsidRPr="00C22298">
        <w:rPr>
          <w:color w:val="000000" w:themeColor="text1"/>
          <w:sz w:val="28"/>
          <w:szCs w:val="28"/>
          <w:lang w:val="ru-RU"/>
        </w:rPr>
        <w:t>фраструктуры (</w:t>
      </w:r>
      <w:proofErr w:type="spellStart"/>
      <w:r w:rsidRPr="00C22298">
        <w:rPr>
          <w:color w:val="000000" w:themeColor="text1"/>
          <w:sz w:val="28"/>
          <w:szCs w:val="28"/>
          <w:lang w:val="ru-RU"/>
        </w:rPr>
        <w:t>энергопринимающих</w:t>
      </w:r>
      <w:proofErr w:type="spellEnd"/>
      <w:r w:rsidRPr="00C22298">
        <w:rPr>
          <w:color w:val="000000" w:themeColor="text1"/>
          <w:sz w:val="28"/>
          <w:szCs w:val="28"/>
          <w:lang w:val="ru-RU"/>
        </w:rPr>
        <w:t xml:space="preserve"> устройств) </w:t>
      </w:r>
      <w:r w:rsidR="00C165C9">
        <w:rPr>
          <w:color w:val="000000" w:themeColor="text1"/>
          <w:sz w:val="28"/>
          <w:szCs w:val="28"/>
          <w:lang w:val="ru-RU"/>
        </w:rPr>
        <w:t>и</w:t>
      </w:r>
      <w:r w:rsidRPr="00C22298">
        <w:rPr>
          <w:color w:val="000000" w:themeColor="text1"/>
          <w:sz w:val="28"/>
          <w:szCs w:val="28"/>
          <w:lang w:val="ru-RU"/>
        </w:rPr>
        <w:t xml:space="preserve"> осуществления технологич</w:t>
      </w:r>
      <w:r w:rsidRPr="00C22298">
        <w:rPr>
          <w:color w:val="000000" w:themeColor="text1"/>
          <w:sz w:val="28"/>
          <w:szCs w:val="28"/>
          <w:lang w:val="ru-RU"/>
        </w:rPr>
        <w:t>е</w:t>
      </w:r>
      <w:r w:rsidRPr="00C22298">
        <w:rPr>
          <w:color w:val="000000" w:themeColor="text1"/>
          <w:sz w:val="28"/>
          <w:szCs w:val="28"/>
          <w:lang w:val="ru-RU"/>
        </w:rPr>
        <w:t>ского присоединения к электрическим сетям при реализации инвестиционных проектов по организации добычи меди, молибдена и попутных компонентов на Ак-</w:t>
      </w:r>
      <w:proofErr w:type="spellStart"/>
      <w:r w:rsidRPr="00C22298">
        <w:rPr>
          <w:color w:val="000000" w:themeColor="text1"/>
          <w:sz w:val="28"/>
          <w:szCs w:val="28"/>
          <w:lang w:val="ru-RU"/>
        </w:rPr>
        <w:t>Сугском</w:t>
      </w:r>
      <w:proofErr w:type="spellEnd"/>
      <w:r w:rsidRPr="00C22298">
        <w:rPr>
          <w:color w:val="000000" w:themeColor="text1"/>
          <w:sz w:val="28"/>
          <w:szCs w:val="28"/>
          <w:lang w:val="ru-RU"/>
        </w:rPr>
        <w:t xml:space="preserve"> медно-порфировом месторождении в Республике Тыва.</w:t>
      </w:r>
      <w:proofErr w:type="gramEnd"/>
    </w:p>
    <w:p w14:paraId="4F537E06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2.3. Заявитель, претендующий на получение субсидии, должен соотве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ствовать следующим требованиям по состоянию на дату не ранее чем за 30 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лендарных дней до дня подачи заявки:</w:t>
      </w:r>
    </w:p>
    <w:p w14:paraId="51168079" w14:textId="3A6E2771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а) получатель субсидии (участник отбора) не является иностранным юр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дическим лицом, в том числе местом регистрации которого является госуда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F65E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ном (складочном) капитале которого доля прямого или косвенного (через тр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тьих лиц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) участия офшорных компаний в совокупности превышает 25 проце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ческих лиц не учитывается прямое и (или) косвенное участие офшорных ко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ний в капитале других российских юридических лиц, реализованное через уч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стие в капитале указанных публичных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14:paraId="674B890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б) получатель субсидии (участник отбора) не находится в перечне орг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низаций и физических лиц, в отношении которых имеются сведения об их пр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частности к экстремистской деятельности или терроризму;</w:t>
      </w:r>
    </w:p>
    <w:p w14:paraId="57D5DBE4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26192B1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г) получатель субсидии (участник отбора) не получает средства из 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публиканского бюджета Республики Тыва, из которого планируется предоста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ление субсидии в соответствии с настоящим Порядком, на основании иных нормативных правовых актов Республики Тыва на цели, установленные наст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ящим Порядком;</w:t>
      </w:r>
    </w:p>
    <w:p w14:paraId="34457A7A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д) получатель субсидии (участник отбора) не является иностранным аге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в соответствии с Федеральным законом «О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14:paraId="68785C8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рации;</w:t>
      </w:r>
    </w:p>
    <w:p w14:paraId="6C83A34D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  <w:proofErr w:type="gramEnd"/>
    </w:p>
    <w:p w14:paraId="111CBA82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з) получатель субсидии (участник отбора), являющийся юридическим 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дии (участником отбора), другого юридического лица), ликвидации, в отнош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14:paraId="162BD8AF" w14:textId="78FFD969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и) в реестре дисквалифицированных лиц отсутствуют сведения о дискв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лифицированных руководителе, членах коллегиального исполнительного орг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ляющегося юридическим лицом, об индивидуальном предпринимателе и о ф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зическом лице </w:t>
      </w:r>
      <w:r w:rsidR="00F65E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ми субсидии (участниками отбора).</w:t>
      </w:r>
      <w:proofErr w:type="gramEnd"/>
    </w:p>
    <w:p w14:paraId="2B2461A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документов и информации при наличии соответствующей информ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ции в государственных информационных системах, доступ к которым у Мин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кументы и информацию главному распорядителю бюджетных средств по со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инициативе.</w:t>
      </w:r>
      <w:proofErr w:type="gramEnd"/>
    </w:p>
    <w:p w14:paraId="2DC41B37" w14:textId="2D5DE60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2.5. Проверка участника отбора получателей субсиди</w:t>
      </w:r>
      <w:r w:rsidR="00C165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требованиям, указанным в пункте 2.3 настоящего Порядка, осуществляется 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 в системе «Электронный бюджет» по данным государственных информационных систем, в том числе с использованием единой системы ме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электронного взаимодействия (при наличии технической во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автоматической проверки)</w:t>
      </w:r>
      <w:r w:rsidR="00C16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заполнения данных.</w:t>
      </w:r>
    </w:p>
    <w:p w14:paraId="5754E000" w14:textId="7AE6703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соответствия участника отбора требованиям, указа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ным в пункте 2.</w:t>
      </w:r>
      <w:r w:rsidR="00E95DE8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случае отсутствия технической во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 в сроки, установленные в данной системе.</w:t>
      </w:r>
      <w:proofErr w:type="gramEnd"/>
    </w:p>
    <w:p w14:paraId="6E2243BA" w14:textId="5E346736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2.7. Порядок формирования и размещения объявления о проведении 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</w:t>
      </w:r>
      <w:r w:rsidR="00C165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8D2DB5" w14:textId="12C30BB9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2.7.1. объявление о проведении отбора получателей субсиди</w:t>
      </w:r>
      <w:r w:rsidR="00C165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ся Министерством не позднее 5-го календарного дня до дня начала приема 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явок, после подписания усиленной квалифицированной электронной подписью руководителя Министерства (уполномоченного им лица) и публикации на 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информации о субсидии;</w:t>
      </w:r>
    </w:p>
    <w:p w14:paraId="4A1F4B66" w14:textId="6A9F0D89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2.7.2. объявление о проведении отбора получателей субсиди</w:t>
      </w:r>
      <w:r w:rsidR="00C165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ся в электронной форме посредством заполнения соответствующих экранных форм веб-интерфейса системы «Электронный бюджет», подписывается ус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ленной квалифицированной электронной подписью руководителя Министе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ства (уполномоченного им лица), публикуется на едином портале и включает в себя следующую информацию:</w:t>
      </w:r>
    </w:p>
    <w:p w14:paraId="2D9C6F4F" w14:textId="5D078D76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</w:t>
      </w:r>
      <w:r w:rsidR="00F65E7B">
        <w:rPr>
          <w:rFonts w:ascii="Times New Roman" w:hAnsi="Times New Roman" w:cs="Times New Roman"/>
          <w:color w:val="000000" w:themeColor="text1"/>
          <w:sz w:val="28"/>
          <w:szCs w:val="28"/>
        </w:rPr>
        <w:t>бъявления о проведении отбора, –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получатель субсидии определяется по результатам запроса предлож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ний и отсутствует информация о количестве получателей субсидии, соотве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категории и (или) критериям отбора;</w:t>
      </w:r>
      <w:proofErr w:type="gramEnd"/>
    </w:p>
    <w:p w14:paraId="6566E8B6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14:paraId="37FA851B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в) результат (результаты) предоставления субсидии, а также характер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стику (характеристики) результата;</w:t>
      </w:r>
    </w:p>
    <w:p w14:paraId="20D1215F" w14:textId="77777777" w:rsidR="005D4526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г) доменное имя и (или) указатели страниц государственной информац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онной системы в сети «Интернет»;</w:t>
      </w:r>
    </w:p>
    <w:p w14:paraId="05CAC502" w14:textId="77777777" w:rsidR="00F65E7B" w:rsidRPr="00C22298" w:rsidRDefault="00F65E7B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F9F4B5" w14:textId="3B90163C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требования к участникам отбора, определенные в соответствии с пун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том 2.</w:t>
      </w:r>
      <w:r w:rsidR="009557E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к перечню документов, представляемых учас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никами отбора для подтверждения соответствия указанным требованиям;</w:t>
      </w:r>
    </w:p>
    <w:p w14:paraId="3D2D8A43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е) категории и (или) критерии отбора;</w:t>
      </w:r>
    </w:p>
    <w:p w14:paraId="171E0342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ж) порядок подачи заявок участниками отбора и требования, предъявля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мые к форме и содержанию заявок;</w:t>
      </w:r>
    </w:p>
    <w:p w14:paraId="756FC96C" w14:textId="320B4B43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з) порядок отзыва заявок участников отбора, порядок возврата заяво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участников отбора, </w:t>
      </w:r>
      <w:proofErr w:type="gramStart"/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14:paraId="5C8F3B41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и) правила рассмотрения и оценки заявок участников отбора в соотве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настоящим Порядком;</w:t>
      </w:r>
    </w:p>
    <w:p w14:paraId="7DE112BD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к) порядок возврата заявок на доработку;</w:t>
      </w:r>
    </w:p>
    <w:p w14:paraId="3E98CC9A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л) порядок отклонения заявок, а также информацию об основаниях их 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клонения;</w:t>
      </w:r>
    </w:p>
    <w:p w14:paraId="06EE182D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14:paraId="77221CDC" w14:textId="6D5CDA2F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н) порядок предоставления участникам отбора разъяснени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объявления о проведении отбора, даты начала и окончания срока такого пред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ставления;</w:t>
      </w:r>
    </w:p>
    <w:p w14:paraId="72BA0BB2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о) срок, в течение которого победитель (победители) отбора должен по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писать соглашение о предоставлении субсидии;</w:t>
      </w:r>
    </w:p>
    <w:p w14:paraId="665F9B88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условия признания победителя отбора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 о предоставлении субсидии;</w:t>
      </w:r>
    </w:p>
    <w:p w14:paraId="7CDE9196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«Интернет», которые не могут быть позднее 14-го кале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дарного дня, следующего за днем определения победителя отбора.</w:t>
      </w:r>
    </w:p>
    <w:p w14:paraId="018417E4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Порядок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отмены проведения отбора получателей субсидий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9524A0" w14:textId="7F7428F1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2.8.1. размещение Министерством объявления об отмене проведения 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допускается не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AADAB4" w14:textId="73B105E8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2.8.2. объявление об отмене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формацию о причинах отмены отбора получателей субсиди</w:t>
      </w:r>
      <w:r w:rsidR="003C22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9502C1" w14:textId="2F6DF2DD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2.8.3. участники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подавшие заявки, инфо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мируются об отмене проведения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«Электронный бюджет»;</w:t>
      </w:r>
    </w:p>
    <w:p w14:paraId="13979E60" w14:textId="43D6DFB4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2.8.4. отбор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отмененным со дня разм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щения объявления о его отмене на едином портале;</w:t>
      </w:r>
    </w:p>
    <w:p w14:paraId="3AA390E2" w14:textId="1FA1B208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2.8.5. после окончания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срока отмены проведения отбора получателей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2.8.1 настоящего Порядка и до заключения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с победителем (победителями)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может отменить отбор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 случае возни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новения обстоятельств непреодолимой силы в соответствии с пунктом 3 статьи 401 Гражданского кодекса Российской Федерации.</w:t>
      </w:r>
    </w:p>
    <w:p w14:paraId="2FF9F6EF" w14:textId="0642D36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 Порядок формирования и подачи участниками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заявок:</w:t>
      </w:r>
    </w:p>
    <w:p w14:paraId="2382F795" w14:textId="4FB1FC5A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2.9.1. заявка подается в соответствии с требованиями и в сроки, указа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ные в объявлении о проведении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0D0EA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должен соответствовать требованиям, указанным в пункте 2.3 настоящего Порядка, по состоянию на даты рассмотрения заявки и заключения соглашения;</w:t>
      </w:r>
    </w:p>
    <w:p w14:paraId="073B8D48" w14:textId="5CB6F71E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2.9.2. заявки формируются заявителями в электронной форме посре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зованных в электронную форму путем сканирования) и материалов, предста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которых предусмотрено в объявлении о проведении отбора получателей субсиди</w:t>
      </w:r>
      <w:r w:rsidR="00CA1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A7C8C5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2.9.3. заявитель подписывает заявку усиленной квалифицированной эле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руководителя участника отбора или уполномоченного им лица;</w:t>
      </w:r>
    </w:p>
    <w:p w14:paraId="49CDD73A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2.9.4. датой представления участником отбора заявки считается день по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писания участником отбора заявки с присвоением ей регистрационного номера в системе «Электронный бюджет»;</w:t>
      </w:r>
    </w:p>
    <w:p w14:paraId="78C6A59B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2.9.5. заявки заявителей должны содержать:</w:t>
      </w:r>
    </w:p>
    <w:p w14:paraId="77CC2DD5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участнике отбора;</w:t>
      </w:r>
    </w:p>
    <w:p w14:paraId="6F072E66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соответствие участника отбора требован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ям, установленным настоящим Порядком;</w:t>
      </w:r>
    </w:p>
    <w:p w14:paraId="018C0029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участником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отбора значения результата предоставления субсидии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 запрашиваемой субсидии;</w:t>
      </w:r>
    </w:p>
    <w:p w14:paraId="72EED72B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по каждому критерию оценки, показателю критериев оце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ки;</w:t>
      </w:r>
    </w:p>
    <w:p w14:paraId="4FC18841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и документы, подтверждающие информацию по каждому кр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терию оценки, показателю критериев оценки, определенные настоящим Поря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ком.</w:t>
      </w:r>
    </w:p>
    <w:p w14:paraId="4E94FFC0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2.9.6. К заявке в системе «Электронный бюджет» прилагаются следу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щие электронные копии документов:</w:t>
      </w:r>
    </w:p>
    <w:p w14:paraId="4524564C" w14:textId="5769EF53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а) заявка на участие в конкурсном отборе по форме в соответствии с пр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ложением</w:t>
      </w:r>
      <w:r w:rsidR="00B33A00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Порядку;</w:t>
      </w:r>
    </w:p>
    <w:p w14:paraId="1E0F6A84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б) справку налогового органа, подтверждающего отсутствие у заявителя неисполненной обязанности по уплате налогов, сборов, страховых взносов,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ней, штрафов и процентов, подлежащих уплате в соответствии с законодател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о налогах и сборах;</w:t>
      </w:r>
    </w:p>
    <w:p w14:paraId="507619AD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в) выписку из единого государственного реестра юридических лиц,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держащую сведения о заявителе (в случае непредставления заявителем такого документа главный распорядитель запрашивает его самостоятельно в рамках межведомственного информационного взаимодействия);</w:t>
      </w:r>
    </w:p>
    <w:p w14:paraId="5DC3E5E0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г) копию договора (договоров) на право пользования земельным участком (земельными участками) на территории Республики Тыва, указанным (указа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ными) в подпункте «б» пункта 2.2 настоящего Порядка;</w:t>
      </w:r>
    </w:p>
    <w:p w14:paraId="3F56AF05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д) заверенную копию заявки на технологическое присоединение объектов электросетевого хозяйства к электрическим сетям в рамках реализации инв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стиционных проектов по организации добычи меди, молибдена и попутных компонентов на Ак-</w:t>
      </w:r>
      <w:proofErr w:type="spell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Сугском</w:t>
      </w:r>
      <w:proofErr w:type="spell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медно-порфировом месторождении в Республике Тыва;</w:t>
      </w:r>
    </w:p>
    <w:p w14:paraId="7B853B30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е) документ, подтверждающий намерения участия заявителя в социально-экономическом развитии Республики Тыва;</w:t>
      </w:r>
    </w:p>
    <w:p w14:paraId="413CA19D" w14:textId="5E0295A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2.9.7. внесение изменений в заявку или отзыв заявки осуществляется участником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аналогичном порядку формирования заявки участником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указанному в пункте 2.9.2 настоящего Порядка;</w:t>
      </w:r>
    </w:p>
    <w:p w14:paraId="4E10E391" w14:textId="1AE8406E" w:rsidR="005D4526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2.9.8. в случае если объявлением о проведении отбора получателей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предусмотрена возможность возврата заявок участникам отбора получ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доработку, решение Министерства о возврате заявок учас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никам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доработку принимаются в равной мере ко всем участникам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при рассмотрении заявок 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системы «Эле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бюджет» в течение одного рабочего дня со дня их принятия с указан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ем оснований для возврата заявки, а также положений заявки, нуждающихся в доработке;</w:t>
      </w:r>
    </w:p>
    <w:p w14:paraId="06E98994" w14:textId="77777777" w:rsidR="00714D77" w:rsidRPr="00C22298" w:rsidRDefault="00714D77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72237" w14:textId="7B337BB4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2.9.9. любой участник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размещения объявления о проведении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ведении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формирования в системе «Эле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бюджет» соответствующего запроса;</w:t>
      </w:r>
      <w:proofErr w:type="gramEnd"/>
    </w:p>
    <w:p w14:paraId="3BE89171" w14:textId="1837FCBD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2.9.10. Министерство в ответ на запрос, указанный в пункте 2.</w:t>
      </w:r>
      <w:r w:rsidR="001B62E8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9.9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Порядка, направляет разъяснение положений объявления о проведении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ния. Представленное Министерством разъяснение положений объявления о проведении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должно изменять суть информ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ции, содержащейся в указанном объявлении.</w:t>
      </w:r>
    </w:p>
    <w:p w14:paraId="64206075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14:paraId="4921627D" w14:textId="6D3FD5FD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 Порядок рассмотрения и оценки заявок, а также определения поб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дителей отбора получателей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0CC2429" w14:textId="59DA154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чателей субсиди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в системе «Электронный бюджет» открывается доступ 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нистерству;</w:t>
      </w:r>
    </w:p>
    <w:p w14:paraId="52940F10" w14:textId="03B5401F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2.10.2. протокол вскрытия заявок формируется на едином портале авт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матически и подписывается усиленной квалифицированной электронной по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писью руководителя Министе</w:t>
      </w:r>
      <w:r w:rsidR="00B747AB">
        <w:rPr>
          <w:rFonts w:ascii="Times New Roman" w:hAnsi="Times New Roman" w:cs="Times New Roman"/>
          <w:color w:val="000000" w:themeColor="text1"/>
          <w:sz w:val="28"/>
          <w:szCs w:val="28"/>
        </w:rPr>
        <w:t>рства (уполномоченного им лица)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«Электронный бюджет», а также размещается на едином портале не позднее рабочего дня, следующего за днем его подписания;</w:t>
      </w:r>
    </w:p>
    <w:p w14:paraId="1512AE4F" w14:textId="6780666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2.10.3. заявка признается надлежащей, если она соответствует требован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ям, указанным в объявлении о проведении отбора получателей субсиди</w:t>
      </w:r>
      <w:r w:rsidR="00FE6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и при отсутствии оснований для отклонения заявки.</w:t>
      </w:r>
    </w:p>
    <w:p w14:paraId="08B5C9D8" w14:textId="16D5AEE9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</w:t>
      </w:r>
      <w:r w:rsidR="00FE6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Министерством на 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ты получения результатов проверки представленных участником отбора пол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чателей субсиди</w:t>
      </w:r>
      <w:r w:rsidR="00FE6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 документов, поданных в составе заявки;</w:t>
      </w:r>
    </w:p>
    <w:p w14:paraId="410D1F56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2.10.4. на стадии рассмотрения заявки основаниями для отклонения зая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ки являются:</w:t>
      </w:r>
    </w:p>
    <w:p w14:paraId="2F78051A" w14:textId="3C72C80A" w:rsidR="005D4526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участника отбора получателей субсиди</w:t>
      </w:r>
      <w:r w:rsidR="00FE6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объявлении о проведении отбора получателей субсиди</w:t>
      </w:r>
      <w:r w:rsidR="00FE61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4FA2CB" w14:textId="77777777" w:rsidR="00714D77" w:rsidRPr="00C22298" w:rsidRDefault="00714D77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688EA3" w14:textId="56DA501E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непредставление (представление не в полном объеме) документов, ук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занных в объявлении о проведении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34D50A" w14:textId="1149D47C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в) несоответствие представленных документов и (или) заявки требован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ям, установленным в объявлении о проведении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DDA198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г) недостоверность информации, содержащейся в документах, предста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ленных в составе заявки;</w:t>
      </w:r>
    </w:p>
    <w:p w14:paraId="6A8D3090" w14:textId="59423284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2.10.5.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отклонения;</w:t>
      </w:r>
      <w:proofErr w:type="gramEnd"/>
    </w:p>
    <w:p w14:paraId="458CF754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2.10.6. протокол рассмотрения заявок формируется на едином портале 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щается на едином портале не позднее рабочего дня, следующего за днем его подписания;</w:t>
      </w:r>
    </w:p>
    <w:p w14:paraId="4BF92463" w14:textId="60E76AAD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2.10.7. в случае если в целях полного, всестороннего и объективного ра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или рассмотрения и оценки заявки необходимо получение информ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ции и документов от участника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разъяснени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представленным им документам и информации, главным распорядителем бюджетных средств осуществляется запрос у участника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разъяснения в отношении документов и информации с использован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ем системы «Электронный бюджет», направляемый при необходимости в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ной мере всем участникам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F5BFC2" w14:textId="4394800F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2.10.8. в запросе, указанном в пункте 2.10.7 настоящего Порядка, главный распорядитель бюджетных средств устанавливает срок представления участн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ком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разъяснения в отношении документов и 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который должен составлять не менее 2 рабочих дней со дня, след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ющего за днем размещения соответствующего запроса;</w:t>
      </w:r>
    </w:p>
    <w:p w14:paraId="01CA4E7F" w14:textId="60739144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2.10.9. участник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и представляет в систему «Электронный бюджет» информацию и документы, запрашиваемые в соответствии с пунктом 2.10.7 настоящего Порядка, в сроки, установленные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запросом с учетом положений пункта 2.10.8 настоящего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рядка;</w:t>
      </w:r>
    </w:p>
    <w:p w14:paraId="49320985" w14:textId="1AA80AA0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2.10.10. в случае если участник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 на запрос, указанный в пункте 2.10.7 настоящего Порядка, не представил запр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шиваемые документы и информацию в срок, установленный соответствующим запросом с учетом положений пункта 2.10.8 настоящего Порядка, информация 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 этом включается в протокол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отбора получателей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A413AE" w14:textId="6130C22B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2.10.11. отбор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несостоявшимся в сл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дующих случаях:</w:t>
      </w:r>
    </w:p>
    <w:p w14:paraId="7493B4F4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а) по окончании срока подачи заявок не подано ни одной заявки;</w:t>
      </w:r>
    </w:p>
    <w:p w14:paraId="6191DE10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б) по результатам рассмотрения заявок отклонены все заявки;</w:t>
      </w:r>
    </w:p>
    <w:p w14:paraId="3400FB88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2.10.12. ранжирование поступивших заявок определяется исходя из оч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редности их поступления;</w:t>
      </w:r>
    </w:p>
    <w:p w14:paraId="24BE6394" w14:textId="5B7D6F12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2.10.13. протокол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отбора получателей субсиди</w:t>
      </w:r>
      <w:r w:rsidR="00007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мируется на едином портале автоматически на основании результатов опред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ления победителей отбора получателей субсиди</w:t>
      </w:r>
      <w:r w:rsidR="00324F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щается на едином портале не позднее рабочего дня, следующего за днем его подписания.</w:t>
      </w:r>
    </w:p>
    <w:p w14:paraId="36FEF012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 взаимодействия Министерства с победителем (победител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ми) отбора получателей субсидии по результатам его проведения:</w:t>
      </w:r>
    </w:p>
    <w:p w14:paraId="6D4CAB11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2.11.1. по результатам отбора получателей субсидии с победителем (п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бедителями) отбора получателей субсидии заключается соглашение в системе «Электронный бюджет» в соответствии с типовыми формами, установленными Министерством финансов Российской Федерации;</w:t>
      </w:r>
    </w:p>
    <w:p w14:paraId="314BA4C9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2.11.2. в целях заключения соглашения победителем (победителями) 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субсидии в системе «Электронный бюджет» уточняется 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3DFD855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2.11.3. Министерство может отказаться от заключения соглашения с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бедителем отбора получателей субсидии в случае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обнаружения факта несоо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ветствия победителя отбора получателей субсидии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объявлении о проведении отбора получателей субсидии, или представления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бедителем отбора получателей субсидии недостоверной информации;</w:t>
      </w:r>
    </w:p>
    <w:p w14:paraId="41F23287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2.11.4. в случае отказа Министерства от заключения соглашения с поб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дителем отбора получателей субсидии по основаниям, предусмотренным пун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том 2.11.3 настоящего Порядка, отказа победителя отбора получателей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дии от заключения соглашения, неподписания победителем отбора получателей субсидии соглашения в срок, определенный объявлением о проведении отбора получателей субсидии в соответствии с подпунктом «о» пункта 2.7.2 настоящ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го Порядка, Министерство направляет иным участникам отбора получателей субсидии, признанным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отбора получателей субсидии, заявки к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торых в части запрашиваемого размера субсидии не были удовлетворены в 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субсидии, заявка которого имеет следующий в порядке убывания рейтинга 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явки после последнего участника отбора получателей субсидии, признанного победителем;</w:t>
      </w:r>
      <w:proofErr w:type="gramEnd"/>
    </w:p>
    <w:p w14:paraId="0389348C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2.11.5. в случаях наличия по результатам проведения отбора получателей субсидии остатка лимитов бюджетных обязательств на предоставление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дии на соответствующий финансовый год, не распределенного между побед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телями отбора получателей субсидии, увеличения лимитов бюджетных обяз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отказа победителя отбора получателей субсидии от заключения согл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отбора получателей субсидий;</w:t>
      </w:r>
    </w:p>
    <w:p w14:paraId="41B1879F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2.11.6. в случаях увеличения Министерству лимитов бюджетных обяз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субсидии от заключения соглашения, расторжения соглашения с получателем субсидии и наличия участников отбора получателей субсидии, прошедших отбор получателей субсидии и не призна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заявки которых в части запраш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ваемого размера субсидии не были удовлетворены в полном объеме, субсидия может распределяться без повторного проведения отбора получателей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дий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присвоенного ранее номера в рейтинге или по решению Мин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может направляться победителям отбора получателей субсидии пре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ложение об увеличении размера субсидии и значения результата предоставл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субсидии;</w:t>
      </w:r>
    </w:p>
    <w:p w14:paraId="52ACB168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2.11.7. в случае невозможности предоставления субсидии в текущем ф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субсидии;</w:t>
      </w:r>
      <w:proofErr w:type="gramEnd"/>
    </w:p>
    <w:p w14:paraId="461ECA08" w14:textId="77777777" w:rsidR="005D4526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сидии в размере, определенном в соглашении, условия о согласовании новых условий соглашения или о расторжении соглашения при недостижении согл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сия по новым условиям;</w:t>
      </w:r>
    </w:p>
    <w:p w14:paraId="32253025" w14:textId="77777777" w:rsidR="00714D77" w:rsidRPr="00C22298" w:rsidRDefault="00714D77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97A49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2.11.9. победитель отбора получателей субсидии признается уклони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шимся от заключения 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отбора получат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лей субсидии не подписал соглашение в течение указанного в объявлении о проведении отбора получателей субсидии количества рабочих дней со дня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соглашения на подписание в систему «Электронный бюджет» и не направил возражения по проекту соглашения;</w:t>
      </w:r>
    </w:p>
    <w:p w14:paraId="06151325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2.11.10. субсидия перечисляется в срок не позднее 10-го рабочего дня следующего за днем принятия Министерством решения о предоставлении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Российской Федерации или российских кр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дитных организациях;</w:t>
      </w:r>
    </w:p>
    <w:p w14:paraId="718C3700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2.11.11. при реорганизации получателя субсидии, являющегося юридич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ским лицом, в форме слияния, присоединения или преобразования в соглаш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ние вносятся изменения путем заключения дополнительного соглашения к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2B26DC8F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цом, в форме разделения, выделения, а также при ликвидации получателя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сидии, являющегося юридическим лицом, или прекращении деятельности п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лучателя субсидии, являющегося индивидуальным предпринимателем (за 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индивидуального предпринимателя, осуществляющего деятел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ции), соглашение расторгается с формированием уведомления о расторжении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в одностороннем порядке и акта об исполнении обязательств по 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дия, и возврате неиспользованного остатка субсидии в республиканский бю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жет Республики Тыва.</w:t>
      </w:r>
    </w:p>
    <w:p w14:paraId="0CE8209C" w14:textId="599EC05A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 деятельности получателя субсидии, являющегося 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</w:t>
      </w:r>
      <w:r w:rsidR="006E7C1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ного з</w:t>
      </w:r>
      <w:r w:rsidR="006E7C1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7C12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кона от 11 июня 2003 г. №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74-ФЗ «О крестьянском (фермерском) хозяйстве», в соглашение вносятся изменения путем заключения дополнительного соглаш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ния к</w:t>
      </w:r>
      <w:proofErr w:type="gramEnd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4037BF2A" w14:textId="5D4D8EEC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 права пользования земельным участком (земельными участками) получателя субсидии, являющегося юридическим лицом, соглаш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прекращает свое действие, и проводится новый отбор получателей субс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дии. Главный распорядитель и получатель субсидии определяют фактическое исполнение соглашения о предоставлении субсидии на дату прекращения его действия в отчете о показателях результативности предоставления субсидии и </w:t>
      </w:r>
      <w:r w:rsidR="0085017C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их значениях,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соглашении о прекращении соглашения о предоставлении су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сидии</w:t>
      </w:r>
      <w:proofErr w:type="gramStart"/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14:paraId="35AD7477" w14:textId="61F5CC09" w:rsidR="005D4526" w:rsidRPr="00C22298" w:rsidRDefault="00BF7938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 </w:t>
      </w:r>
      <w:r w:rsidR="006212DB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5A59DAA3" w14:textId="018ACBCF" w:rsidR="005D4526" w:rsidRPr="00C22298" w:rsidRDefault="005D4526" w:rsidP="00C22298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22298">
        <w:rPr>
          <w:color w:val="000000" w:themeColor="text1"/>
          <w:sz w:val="28"/>
          <w:szCs w:val="28"/>
          <w:lang w:val="ru-RU"/>
        </w:rPr>
        <w:t xml:space="preserve">«5.1. </w:t>
      </w:r>
      <w:proofErr w:type="gramStart"/>
      <w:r w:rsidRPr="00C22298">
        <w:rPr>
          <w:color w:val="000000" w:themeColor="text1"/>
          <w:sz w:val="28"/>
          <w:szCs w:val="28"/>
          <w:lang w:val="ru-RU"/>
        </w:rPr>
        <w:t>Главный распорядитель как получатель бюджетных средств пров</w:t>
      </w:r>
      <w:r w:rsidRPr="00C22298">
        <w:rPr>
          <w:color w:val="000000" w:themeColor="text1"/>
          <w:sz w:val="28"/>
          <w:szCs w:val="28"/>
          <w:lang w:val="ru-RU"/>
        </w:rPr>
        <w:t>е</w:t>
      </w:r>
      <w:r w:rsidRPr="00C22298">
        <w:rPr>
          <w:color w:val="000000" w:themeColor="text1"/>
          <w:sz w:val="28"/>
          <w:szCs w:val="28"/>
          <w:lang w:val="ru-RU"/>
        </w:rPr>
        <w:t>ряет соблюдение получателем субсидии порядка и условий предоставления субсидии, в том числе в части достижения результатов предоставления субс</w:t>
      </w:r>
      <w:r w:rsidRPr="00C22298">
        <w:rPr>
          <w:color w:val="000000" w:themeColor="text1"/>
          <w:sz w:val="28"/>
          <w:szCs w:val="28"/>
          <w:lang w:val="ru-RU"/>
        </w:rPr>
        <w:t>и</w:t>
      </w:r>
      <w:r w:rsidRPr="00C22298">
        <w:rPr>
          <w:color w:val="000000" w:themeColor="text1"/>
          <w:sz w:val="28"/>
          <w:szCs w:val="28"/>
          <w:lang w:val="ru-RU"/>
        </w:rPr>
        <w:t>дии на каждом этапе предоставления субсиди</w:t>
      </w:r>
      <w:r w:rsidR="00324F24">
        <w:rPr>
          <w:color w:val="000000" w:themeColor="text1"/>
          <w:sz w:val="28"/>
          <w:szCs w:val="28"/>
          <w:lang w:val="ru-RU"/>
        </w:rPr>
        <w:t>и</w:t>
      </w:r>
      <w:r w:rsidRPr="00C22298">
        <w:rPr>
          <w:color w:val="000000" w:themeColor="text1"/>
          <w:sz w:val="28"/>
          <w:szCs w:val="28"/>
          <w:lang w:val="ru-RU"/>
        </w:rPr>
        <w:t>, а органы государственного ф</w:t>
      </w:r>
      <w:r w:rsidRPr="00C22298">
        <w:rPr>
          <w:color w:val="000000" w:themeColor="text1"/>
          <w:sz w:val="28"/>
          <w:szCs w:val="28"/>
          <w:lang w:val="ru-RU"/>
        </w:rPr>
        <w:t>и</w:t>
      </w:r>
      <w:r w:rsidRPr="00C22298">
        <w:rPr>
          <w:color w:val="000000" w:themeColor="text1"/>
          <w:sz w:val="28"/>
          <w:szCs w:val="28"/>
          <w:lang w:val="ru-RU"/>
        </w:rPr>
        <w:t>нансового контроля Республики Тыва проверяют соблюдение получателем су</w:t>
      </w:r>
      <w:r w:rsidRPr="00C22298">
        <w:rPr>
          <w:color w:val="000000" w:themeColor="text1"/>
          <w:sz w:val="28"/>
          <w:szCs w:val="28"/>
          <w:lang w:val="ru-RU"/>
        </w:rPr>
        <w:t>б</w:t>
      </w:r>
      <w:r w:rsidRPr="00C22298">
        <w:rPr>
          <w:color w:val="000000" w:themeColor="text1"/>
          <w:sz w:val="28"/>
          <w:szCs w:val="28"/>
          <w:lang w:val="ru-RU"/>
        </w:rPr>
        <w:t xml:space="preserve">сидии порядка и условий предоставления субсидии в соответствии со </w:t>
      </w:r>
      <w:hyperlink r:id="rId10" w:history="1">
        <w:r w:rsidRPr="00C22298">
          <w:rPr>
            <w:color w:val="000000" w:themeColor="text1"/>
            <w:sz w:val="28"/>
            <w:szCs w:val="28"/>
            <w:lang w:val="ru-RU"/>
          </w:rPr>
          <w:t>статьями 268.1</w:t>
        </w:r>
      </w:hyperlink>
      <w:r w:rsidRPr="00C22298">
        <w:rPr>
          <w:color w:val="000000" w:themeColor="text1"/>
          <w:sz w:val="28"/>
          <w:szCs w:val="28"/>
          <w:lang w:val="ru-RU"/>
        </w:rPr>
        <w:t xml:space="preserve"> и </w:t>
      </w:r>
      <w:hyperlink r:id="rId11" w:history="1">
        <w:r w:rsidRPr="00C22298">
          <w:rPr>
            <w:color w:val="000000" w:themeColor="text1"/>
            <w:sz w:val="28"/>
            <w:szCs w:val="28"/>
            <w:lang w:val="ru-RU"/>
          </w:rPr>
          <w:t>269.2</w:t>
        </w:r>
      </w:hyperlink>
      <w:r w:rsidRPr="00C22298">
        <w:rPr>
          <w:color w:val="000000" w:themeColor="text1"/>
          <w:sz w:val="28"/>
          <w:szCs w:val="28"/>
          <w:lang w:val="ru-RU"/>
        </w:rPr>
        <w:t xml:space="preserve"> Бюджетного кодекса Российской Федерации и включение таких положений</w:t>
      </w:r>
      <w:proofErr w:type="gramEnd"/>
      <w:r w:rsidRPr="00C22298">
        <w:rPr>
          <w:color w:val="000000" w:themeColor="text1"/>
          <w:sz w:val="28"/>
          <w:szCs w:val="28"/>
          <w:lang w:val="ru-RU"/>
        </w:rPr>
        <w:t xml:space="preserve"> в соглашение.</w:t>
      </w:r>
    </w:p>
    <w:p w14:paraId="44257E26" w14:textId="4093E90A" w:rsidR="005D4526" w:rsidRPr="00C22298" w:rsidRDefault="005D4526" w:rsidP="00C2229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достижения результатов предоставления субсидии пров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дится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 финансов Российской Федерации</w:t>
      </w:r>
      <w:proofErr w:type="gramStart"/>
      <w:r w:rsidRPr="00C22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7938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6D6556F6" w14:textId="511630BC" w:rsidR="005D4526" w:rsidRPr="00C22298" w:rsidRDefault="00BF7938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2">
        <w:r w:rsidR="009A64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5D4526" w:rsidRPr="00C22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риложение</w:t>
        </w:r>
      </w:hyperlink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Порядку предоставления субсидий юридическим лицам на осуществление технологического присоединения энергопринима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D4526" w:rsidRPr="00C22298">
        <w:rPr>
          <w:rFonts w:ascii="Times New Roman" w:hAnsi="Times New Roman" w:cs="Times New Roman"/>
          <w:color w:val="000000" w:themeColor="text1"/>
          <w:sz w:val="28"/>
          <w:szCs w:val="28"/>
        </w:rPr>
        <w:t>щих устройств, выполняемых в рамках реализации инвестиционных проектов по организации добычи меди, молибдена и попутных компонентов, изложить в следующей редакции:</w:t>
      </w:r>
    </w:p>
    <w:p w14:paraId="63C60F6E" w14:textId="77777777" w:rsidR="005D4526" w:rsidRPr="00C22298" w:rsidRDefault="005D4526" w:rsidP="00C222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AD6BD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121CDA18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77E77E7E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06EC9553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3D2933D8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70B6C320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2E68A4C7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7F862D65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59888A5B" w14:textId="77777777" w:rsidR="005D4526" w:rsidRPr="0015091F" w:rsidRDefault="005D4526" w:rsidP="0015091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5D6D72A3" w14:textId="77777777" w:rsidR="005D4526" w:rsidRPr="0015091F" w:rsidRDefault="005D4526" w:rsidP="0015091F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D4526" w:rsidRPr="0015091F" w:rsidSect="002E348F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A3C153" w14:textId="77777777" w:rsidR="002E09AB" w:rsidRPr="00950B93" w:rsidRDefault="002E09AB" w:rsidP="00950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B93">
        <w:rPr>
          <w:rFonts w:ascii="Times New Roman" w:hAnsi="Times New Roman" w:cs="Times New Roman"/>
          <w:sz w:val="28"/>
          <w:szCs w:val="28"/>
        </w:rPr>
        <w:lastRenderedPageBreak/>
        <w:t>«Форма</w:t>
      </w:r>
    </w:p>
    <w:p w14:paraId="7757FDCF" w14:textId="77777777" w:rsidR="00950B93" w:rsidRDefault="00950B93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C7E37" w14:textId="3F17E38C" w:rsidR="002E09AB" w:rsidRPr="00950B93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0B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О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К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А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З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А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Т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Е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Л</w:t>
      </w:r>
      <w:r w:rsidR="00950B93">
        <w:rPr>
          <w:rFonts w:ascii="Times New Roman" w:hAnsi="Times New Roman" w:cs="Times New Roman"/>
          <w:sz w:val="28"/>
          <w:szCs w:val="28"/>
        </w:rPr>
        <w:t xml:space="preserve"> </w:t>
      </w:r>
      <w:r w:rsidRPr="00950B93">
        <w:rPr>
          <w:rFonts w:ascii="Times New Roman" w:hAnsi="Times New Roman" w:cs="Times New Roman"/>
          <w:sz w:val="28"/>
          <w:szCs w:val="28"/>
        </w:rPr>
        <w:t>И</w:t>
      </w:r>
    </w:p>
    <w:p w14:paraId="7DC307DA" w14:textId="77777777" w:rsidR="002E09AB" w:rsidRPr="00950B93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93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субсидий </w:t>
      </w:r>
      <w:proofErr w:type="gramStart"/>
      <w:r w:rsidRPr="00950B93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14:paraId="3E112A69" w14:textId="77777777" w:rsidR="002E09AB" w:rsidRPr="00950B93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93">
        <w:rPr>
          <w:rFonts w:ascii="Times New Roman" w:hAnsi="Times New Roman" w:cs="Times New Roman"/>
          <w:sz w:val="28"/>
          <w:szCs w:val="28"/>
        </w:rPr>
        <w:t>лицам на осуществление технологического присоединения</w:t>
      </w:r>
    </w:p>
    <w:p w14:paraId="3394CD7F" w14:textId="77777777" w:rsidR="002E09AB" w:rsidRPr="00950B93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B9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50B93">
        <w:rPr>
          <w:rFonts w:ascii="Times New Roman" w:hAnsi="Times New Roman" w:cs="Times New Roman"/>
          <w:sz w:val="28"/>
          <w:szCs w:val="28"/>
        </w:rPr>
        <w:t xml:space="preserve"> устройств, </w:t>
      </w:r>
      <w:proofErr w:type="gramStart"/>
      <w:r w:rsidRPr="00950B93">
        <w:rPr>
          <w:rFonts w:ascii="Times New Roman" w:hAnsi="Times New Roman" w:cs="Times New Roman"/>
          <w:sz w:val="28"/>
          <w:szCs w:val="28"/>
        </w:rPr>
        <w:t>выполняемого</w:t>
      </w:r>
      <w:proofErr w:type="gramEnd"/>
      <w:r w:rsidRPr="00950B93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14:paraId="6E9C4252" w14:textId="77777777" w:rsidR="002E09AB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93">
        <w:rPr>
          <w:rFonts w:ascii="Times New Roman" w:hAnsi="Times New Roman" w:cs="Times New Roman"/>
          <w:sz w:val="28"/>
          <w:szCs w:val="28"/>
        </w:rPr>
        <w:t>реализации инвестиционных проектов по организации</w:t>
      </w:r>
    </w:p>
    <w:p w14:paraId="19E63CE3" w14:textId="636970D2" w:rsidR="00324F24" w:rsidRPr="00950B93" w:rsidRDefault="00324F24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4">
        <w:rPr>
          <w:rFonts w:ascii="Times New Roman" w:hAnsi="Times New Roman" w:cs="Times New Roman"/>
          <w:sz w:val="28"/>
          <w:szCs w:val="28"/>
        </w:rPr>
        <w:t>добычи меди, молибдена и попутных компонентов</w:t>
      </w:r>
    </w:p>
    <w:p w14:paraId="7BA94509" w14:textId="77777777" w:rsidR="002E09AB" w:rsidRPr="00950B93" w:rsidRDefault="002E09AB" w:rsidP="0095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8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656"/>
        <w:gridCol w:w="852"/>
        <w:gridCol w:w="567"/>
        <w:gridCol w:w="709"/>
        <w:gridCol w:w="708"/>
        <w:gridCol w:w="795"/>
        <w:gridCol w:w="668"/>
        <w:gridCol w:w="695"/>
        <w:gridCol w:w="752"/>
        <w:gridCol w:w="709"/>
        <w:gridCol w:w="788"/>
        <w:gridCol w:w="709"/>
        <w:gridCol w:w="708"/>
        <w:gridCol w:w="669"/>
        <w:gridCol w:w="706"/>
        <w:gridCol w:w="691"/>
        <w:gridCol w:w="709"/>
        <w:gridCol w:w="708"/>
        <w:gridCol w:w="709"/>
      </w:tblGrid>
      <w:tr w:rsidR="0015091F" w:rsidRPr="00950B93" w14:paraId="5B273F6A" w14:textId="77777777" w:rsidTr="0064275C">
        <w:trPr>
          <w:trHeight w:val="20"/>
          <w:jc w:val="center"/>
        </w:trPr>
        <w:tc>
          <w:tcPr>
            <w:tcW w:w="1328" w:type="dxa"/>
            <w:vMerge w:val="restart"/>
          </w:tcPr>
          <w:p w14:paraId="27CA7736" w14:textId="3A4C53A9" w:rsidR="002E09AB" w:rsidRPr="00950B93" w:rsidRDefault="002E09AB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мероприятия (объекта кап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тального стро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тельства, объе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 недвижимого имущества</w:t>
            </w:r>
            <w:proofErr w:type="gramEnd"/>
          </w:p>
        </w:tc>
        <w:tc>
          <w:tcPr>
            <w:tcW w:w="1656" w:type="dxa"/>
            <w:vMerge w:val="restart"/>
          </w:tcPr>
          <w:p w14:paraId="1D4C1FB9" w14:textId="77777777" w:rsidR="002E09AB" w:rsidRPr="00950B93" w:rsidRDefault="002E09AB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 пред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ставления субсидии</w:t>
            </w:r>
          </w:p>
        </w:tc>
        <w:tc>
          <w:tcPr>
            <w:tcW w:w="1419" w:type="dxa"/>
            <w:gridSpan w:val="2"/>
            <w:vMerge w:val="restart"/>
          </w:tcPr>
          <w:p w14:paraId="6C8B768B" w14:textId="77777777" w:rsidR="00B903A4" w:rsidRDefault="002E09AB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Единица </w:t>
            </w:r>
          </w:p>
          <w:p w14:paraId="0C69AC2A" w14:textId="3D4FA91C" w:rsidR="002E09AB" w:rsidRPr="00950B93" w:rsidRDefault="002E09AB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измерения</w:t>
            </w:r>
          </w:p>
        </w:tc>
        <w:tc>
          <w:tcPr>
            <w:tcW w:w="11433" w:type="dxa"/>
            <w:gridSpan w:val="16"/>
          </w:tcPr>
          <w:p w14:paraId="4CFE8453" w14:textId="77777777" w:rsidR="002E09AB" w:rsidRPr="00950B93" w:rsidRDefault="002E09AB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Значения результата предоставления субсидии</w:t>
            </w:r>
          </w:p>
        </w:tc>
      </w:tr>
      <w:tr w:rsidR="009455C2" w:rsidRPr="00950B93" w14:paraId="47D87F37" w14:textId="77777777" w:rsidTr="009455C2">
        <w:trPr>
          <w:trHeight w:val="20"/>
          <w:jc w:val="center"/>
        </w:trPr>
        <w:tc>
          <w:tcPr>
            <w:tcW w:w="1328" w:type="dxa"/>
            <w:vMerge/>
          </w:tcPr>
          <w:p w14:paraId="2D02D9BD" w14:textId="77777777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14:paraId="616801DF" w14:textId="77777777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</w:tcPr>
          <w:p w14:paraId="6E1CBC86" w14:textId="77777777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24" w:type="dxa"/>
            <w:gridSpan w:val="8"/>
          </w:tcPr>
          <w:p w14:paraId="374B7AD2" w14:textId="23E59992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1</w:t>
            </w:r>
          </w:p>
        </w:tc>
        <w:tc>
          <w:tcPr>
            <w:tcW w:w="1417" w:type="dxa"/>
            <w:gridSpan w:val="2"/>
          </w:tcPr>
          <w:p w14:paraId="65B38EEC" w14:textId="4CB619F0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2</w:t>
            </w:r>
          </w:p>
        </w:tc>
        <w:tc>
          <w:tcPr>
            <w:tcW w:w="4192" w:type="dxa"/>
            <w:gridSpan w:val="6"/>
          </w:tcPr>
          <w:p w14:paraId="58BF8EDC" w14:textId="5CA9F423" w:rsidR="009455C2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 3</w:t>
            </w:r>
          </w:p>
        </w:tc>
      </w:tr>
      <w:tr w:rsidR="0015091F" w:rsidRPr="00950B93" w14:paraId="2F737AC8" w14:textId="2FBA696E" w:rsidTr="0064275C">
        <w:trPr>
          <w:trHeight w:val="20"/>
          <w:jc w:val="center"/>
        </w:trPr>
        <w:tc>
          <w:tcPr>
            <w:tcW w:w="1328" w:type="dxa"/>
            <w:vMerge/>
          </w:tcPr>
          <w:p w14:paraId="0BB8A87E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14:paraId="46249B3A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</w:tcPr>
          <w:p w14:paraId="0563D56B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271D861" w14:textId="68BC4F87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31.12.2020</w:t>
            </w:r>
          </w:p>
        </w:tc>
        <w:tc>
          <w:tcPr>
            <w:tcW w:w="1463" w:type="dxa"/>
            <w:gridSpan w:val="2"/>
          </w:tcPr>
          <w:p w14:paraId="3486B8FC" w14:textId="66365527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31.12.2021</w:t>
            </w:r>
          </w:p>
        </w:tc>
        <w:tc>
          <w:tcPr>
            <w:tcW w:w="1447" w:type="dxa"/>
            <w:gridSpan w:val="2"/>
          </w:tcPr>
          <w:p w14:paraId="39CE959F" w14:textId="00D877F4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31.12.2022</w:t>
            </w:r>
          </w:p>
        </w:tc>
        <w:tc>
          <w:tcPr>
            <w:tcW w:w="1497" w:type="dxa"/>
            <w:gridSpan w:val="2"/>
          </w:tcPr>
          <w:p w14:paraId="6AB07892" w14:textId="0DD13FBB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31.12.2023</w:t>
            </w:r>
          </w:p>
        </w:tc>
        <w:tc>
          <w:tcPr>
            <w:tcW w:w="1417" w:type="dxa"/>
            <w:gridSpan w:val="2"/>
          </w:tcPr>
          <w:p w14:paraId="74BA1104" w14:textId="5C62F046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31.12.2024</w:t>
            </w:r>
          </w:p>
        </w:tc>
        <w:tc>
          <w:tcPr>
            <w:tcW w:w="1375" w:type="dxa"/>
            <w:gridSpan w:val="2"/>
          </w:tcPr>
          <w:p w14:paraId="7F80E203" w14:textId="0FEB31BD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31.12.2025</w:t>
            </w:r>
          </w:p>
        </w:tc>
        <w:tc>
          <w:tcPr>
            <w:tcW w:w="1400" w:type="dxa"/>
            <w:gridSpan w:val="2"/>
          </w:tcPr>
          <w:p w14:paraId="61A1973E" w14:textId="423DB12E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31.12.2026</w:t>
            </w:r>
          </w:p>
        </w:tc>
        <w:tc>
          <w:tcPr>
            <w:tcW w:w="1417" w:type="dxa"/>
            <w:gridSpan w:val="2"/>
          </w:tcPr>
          <w:p w14:paraId="1D6B6D9D" w14:textId="7BA7BD03" w:rsidR="008B5A73" w:rsidRPr="00950B93" w:rsidRDefault="009455C2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31.12.2027</w:t>
            </w:r>
          </w:p>
        </w:tc>
      </w:tr>
      <w:tr w:rsidR="0015091F" w:rsidRPr="00950B93" w14:paraId="7D0EB84C" w14:textId="0667F624" w:rsidTr="0064275C">
        <w:trPr>
          <w:trHeight w:val="20"/>
          <w:jc w:val="center"/>
        </w:trPr>
        <w:tc>
          <w:tcPr>
            <w:tcW w:w="1328" w:type="dxa"/>
            <w:vMerge/>
          </w:tcPr>
          <w:p w14:paraId="7C3A1F52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14:paraId="5CD096BB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</w:tcPr>
          <w:p w14:paraId="49336D35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вание</w:t>
            </w:r>
          </w:p>
        </w:tc>
        <w:tc>
          <w:tcPr>
            <w:tcW w:w="567" w:type="dxa"/>
          </w:tcPr>
          <w:p w14:paraId="54F16BF6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код по </w:t>
            </w:r>
            <w:hyperlink r:id="rId14">
              <w:r w:rsidRPr="00950B9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9" w:type="dxa"/>
          </w:tcPr>
          <w:p w14:paraId="0F2BD55D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08" w:type="dxa"/>
          </w:tcPr>
          <w:p w14:paraId="1FA5040A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вого года</w:t>
            </w:r>
          </w:p>
        </w:tc>
        <w:tc>
          <w:tcPr>
            <w:tcW w:w="795" w:type="dxa"/>
          </w:tcPr>
          <w:p w14:paraId="1898B067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заключ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глашения</w:t>
            </w:r>
          </w:p>
        </w:tc>
        <w:tc>
          <w:tcPr>
            <w:tcW w:w="668" w:type="dxa"/>
          </w:tcPr>
          <w:p w14:paraId="34B41ECF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 т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кущего фина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сового года</w:t>
            </w:r>
          </w:p>
        </w:tc>
        <w:tc>
          <w:tcPr>
            <w:tcW w:w="695" w:type="dxa"/>
          </w:tcPr>
          <w:p w14:paraId="2E6D8C81" w14:textId="1F20CBE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52" w:type="dxa"/>
          </w:tcPr>
          <w:p w14:paraId="30476B8C" w14:textId="483A7A2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нансов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года</w:t>
            </w:r>
          </w:p>
        </w:tc>
        <w:tc>
          <w:tcPr>
            <w:tcW w:w="709" w:type="dxa"/>
          </w:tcPr>
          <w:p w14:paraId="6D542ADB" w14:textId="5CD04B18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88" w:type="dxa"/>
          </w:tcPr>
          <w:p w14:paraId="48ABB557" w14:textId="3DDDBC6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текущего фина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сового года</w:t>
            </w:r>
          </w:p>
        </w:tc>
        <w:tc>
          <w:tcPr>
            <w:tcW w:w="709" w:type="dxa"/>
          </w:tcPr>
          <w:p w14:paraId="36AF16E9" w14:textId="4EA9139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08" w:type="dxa"/>
          </w:tcPr>
          <w:p w14:paraId="2A07208C" w14:textId="4762061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вого года</w:t>
            </w:r>
          </w:p>
        </w:tc>
        <w:tc>
          <w:tcPr>
            <w:tcW w:w="669" w:type="dxa"/>
          </w:tcPr>
          <w:p w14:paraId="08B296C5" w14:textId="0BA7879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06" w:type="dxa"/>
          </w:tcPr>
          <w:p w14:paraId="09E2202A" w14:textId="3509E56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вого года</w:t>
            </w:r>
          </w:p>
        </w:tc>
        <w:tc>
          <w:tcPr>
            <w:tcW w:w="691" w:type="dxa"/>
          </w:tcPr>
          <w:p w14:paraId="6EA6B2E1" w14:textId="39C09C0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09" w:type="dxa"/>
          </w:tcPr>
          <w:p w14:paraId="347AE925" w14:textId="2D2E370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вого года</w:t>
            </w:r>
          </w:p>
        </w:tc>
        <w:tc>
          <w:tcPr>
            <w:tcW w:w="708" w:type="dxa"/>
          </w:tcPr>
          <w:p w14:paraId="69585AF3" w14:textId="06A4DAC9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даты закл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чения</w:t>
            </w:r>
            <w:proofErr w:type="gramEnd"/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Согл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шения</w:t>
            </w:r>
          </w:p>
        </w:tc>
        <w:tc>
          <w:tcPr>
            <w:tcW w:w="709" w:type="dxa"/>
          </w:tcPr>
          <w:p w14:paraId="5D5A76DA" w14:textId="7D69F78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них с начала текущ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ф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нанс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вого года</w:t>
            </w:r>
          </w:p>
        </w:tc>
      </w:tr>
      <w:tr w:rsidR="0015091F" w:rsidRPr="00950B93" w14:paraId="0F1EFC39" w14:textId="6B8F73FB" w:rsidTr="0064275C">
        <w:trPr>
          <w:trHeight w:val="20"/>
          <w:jc w:val="center"/>
        </w:trPr>
        <w:tc>
          <w:tcPr>
            <w:tcW w:w="1328" w:type="dxa"/>
          </w:tcPr>
          <w:p w14:paraId="38C1384A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14:paraId="67995250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FF7A252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A1B2D22" w14:textId="777777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FD20230" w14:textId="6C2BA9C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16AAD65D" w14:textId="621E5532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5" w:type="dxa"/>
          </w:tcPr>
          <w:p w14:paraId="32EE68FB" w14:textId="40B747B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8" w:type="dxa"/>
          </w:tcPr>
          <w:p w14:paraId="7F3E2BB0" w14:textId="524613B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</w:tcPr>
          <w:p w14:paraId="588653F1" w14:textId="656E1E3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52" w:type="dxa"/>
          </w:tcPr>
          <w:p w14:paraId="0AEEA9F3" w14:textId="799E23D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5BC7835B" w14:textId="017087C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88" w:type="dxa"/>
          </w:tcPr>
          <w:p w14:paraId="7ADE946F" w14:textId="2D643A3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97D53C4" w14:textId="74C73F6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184FDDF5" w14:textId="71073EA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69" w:type="dxa"/>
          </w:tcPr>
          <w:p w14:paraId="572C95AC" w14:textId="75D6BEA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6" w:type="dxa"/>
          </w:tcPr>
          <w:p w14:paraId="438AA7E8" w14:textId="6A14EEC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91" w:type="dxa"/>
          </w:tcPr>
          <w:p w14:paraId="1376B881" w14:textId="638F4894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1C8BC2AA" w14:textId="56A5F26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74967324" w14:textId="726AA54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79614CEE" w14:textId="36F7356D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15091F" w:rsidRPr="00950B93" w14:paraId="0E1CBC93" w14:textId="2C0EC9E2" w:rsidTr="0064275C">
        <w:trPr>
          <w:trHeight w:val="20"/>
          <w:jc w:val="center"/>
        </w:trPr>
        <w:tc>
          <w:tcPr>
            <w:tcW w:w="1328" w:type="dxa"/>
            <w:vMerge w:val="restart"/>
          </w:tcPr>
          <w:p w14:paraId="275067FC" w14:textId="25B7DA54" w:rsidR="008B5A73" w:rsidRPr="00950B93" w:rsidRDefault="008B5A73" w:rsidP="00324F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Создание эне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гетической и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фраструктуры в рамках реализ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ции инвестиц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онного проекта по организации добычи меди, молибдена и попутных ко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понентов на Ак-</w:t>
            </w:r>
            <w:proofErr w:type="spellStart"/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Сугском</w:t>
            </w:r>
            <w:proofErr w:type="spellEnd"/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медно-порфировом месторождении в Республике Тыва, в рамках которого ос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ществляется </w:t>
            </w:r>
          </w:p>
        </w:tc>
        <w:tc>
          <w:tcPr>
            <w:tcW w:w="1656" w:type="dxa"/>
          </w:tcPr>
          <w:p w14:paraId="52B1ECBD" w14:textId="6851C763" w:rsidR="008B5A73" w:rsidRPr="00950B93" w:rsidRDefault="00F15617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ополнительные рабочие места</w:t>
            </w:r>
          </w:p>
        </w:tc>
        <w:tc>
          <w:tcPr>
            <w:tcW w:w="852" w:type="dxa"/>
          </w:tcPr>
          <w:p w14:paraId="0ED3DF5C" w14:textId="7642678D" w:rsidR="008B5A73" w:rsidRPr="00950B93" w:rsidRDefault="00F15617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</w:t>
            </w:r>
            <w:r w:rsidR="00B90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</w:t>
            </w:r>
          </w:p>
        </w:tc>
        <w:tc>
          <w:tcPr>
            <w:tcW w:w="567" w:type="dxa"/>
          </w:tcPr>
          <w:p w14:paraId="712C97F2" w14:textId="632B0A7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</w:t>
            </w:r>
          </w:p>
        </w:tc>
        <w:tc>
          <w:tcPr>
            <w:tcW w:w="709" w:type="dxa"/>
          </w:tcPr>
          <w:p w14:paraId="253CDC0E" w14:textId="2B87951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AD2BAD0" w14:textId="67DCAA1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95" w:type="dxa"/>
          </w:tcPr>
          <w:p w14:paraId="71557A1A" w14:textId="4D2259E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68" w:type="dxa"/>
          </w:tcPr>
          <w:p w14:paraId="773A2EA7" w14:textId="6D70DD4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95" w:type="dxa"/>
          </w:tcPr>
          <w:p w14:paraId="240D2E32" w14:textId="7EB3042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752" w:type="dxa"/>
          </w:tcPr>
          <w:p w14:paraId="7AF8E9ED" w14:textId="34B3D06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AB64935" w14:textId="792B609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88" w:type="dxa"/>
          </w:tcPr>
          <w:p w14:paraId="5616955E" w14:textId="317DA56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A69B2A3" w14:textId="3C3FCA58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8C05FDC" w14:textId="76426EF4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14:paraId="376EBF4D" w14:textId="6DA7707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14:paraId="49981FCB" w14:textId="4B9164C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14:paraId="75D33A50" w14:textId="44C96D5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1CE6DCF" w14:textId="7E757E0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1AFC1FFD" w14:textId="7C71767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63BE37" w14:textId="27DA807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091F" w:rsidRPr="00950B93" w14:paraId="55013C3A" w14:textId="1A0B4D88" w:rsidTr="0064275C">
        <w:trPr>
          <w:trHeight w:val="20"/>
          <w:jc w:val="center"/>
        </w:trPr>
        <w:tc>
          <w:tcPr>
            <w:tcW w:w="1328" w:type="dxa"/>
            <w:vMerge/>
          </w:tcPr>
          <w:p w14:paraId="4699A625" w14:textId="77777777" w:rsidR="008B5A73" w:rsidRPr="00950B93" w:rsidRDefault="008B5A73" w:rsidP="00950B9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</w:tcPr>
          <w:p w14:paraId="0F87C138" w14:textId="57030111" w:rsidR="008B5A73" w:rsidRPr="00950B93" w:rsidRDefault="00F15617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аксимальная мо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ность </w:t>
            </w:r>
            <w:proofErr w:type="spellStart"/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энергоприн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мающих</w:t>
            </w:r>
            <w:proofErr w:type="spellEnd"/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устройств юридического лица, в отношении кот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8B5A73"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рых осуществлено технологическое присоединение</w:t>
            </w:r>
          </w:p>
        </w:tc>
        <w:tc>
          <w:tcPr>
            <w:tcW w:w="852" w:type="dxa"/>
          </w:tcPr>
          <w:p w14:paraId="660C4AC5" w14:textId="615CE261" w:rsidR="008B5A73" w:rsidRPr="00950B93" w:rsidRDefault="00F15617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мегаватт, тысяча киловатт</w:t>
            </w:r>
          </w:p>
        </w:tc>
        <w:tc>
          <w:tcPr>
            <w:tcW w:w="567" w:type="dxa"/>
          </w:tcPr>
          <w:p w14:paraId="009D6813" w14:textId="5EA57D1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709" w:type="dxa"/>
          </w:tcPr>
          <w:p w14:paraId="31AE41B9" w14:textId="1008ACA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51C1F1E" w14:textId="60E89B4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</w:tcPr>
          <w:p w14:paraId="22E276C3" w14:textId="569AEBA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64F2E327" w14:textId="10506514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14:paraId="2D3FAED4" w14:textId="77427532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52" w:type="dxa"/>
          </w:tcPr>
          <w:p w14:paraId="53FEDD51" w14:textId="4B97039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3CCE321" w14:textId="7B7083A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14:paraId="2C07E72D" w14:textId="26777D6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D833685" w14:textId="51139DD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DB6AF06" w14:textId="789AC90B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14:paraId="23A9AFB6" w14:textId="651FB4F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14:paraId="59CB54E4" w14:textId="0C6D447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14:paraId="2CBE443F" w14:textId="56E8449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61A04B" w14:textId="279B8FD9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992F07E" w14:textId="4A0B4887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14:paraId="3EAA0E68" w14:textId="7ADD1F5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</w:tr>
      <w:tr w:rsidR="0015091F" w:rsidRPr="00950B93" w14:paraId="30D886C6" w14:textId="0F649B94" w:rsidTr="0064275C">
        <w:trPr>
          <w:trHeight w:val="20"/>
          <w:jc w:val="center"/>
        </w:trPr>
        <w:tc>
          <w:tcPr>
            <w:tcW w:w="1328" w:type="dxa"/>
            <w:vMerge/>
          </w:tcPr>
          <w:p w14:paraId="7830376F" w14:textId="77777777" w:rsidR="008B5A73" w:rsidRPr="00950B93" w:rsidRDefault="008B5A73" w:rsidP="00950B9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</w:tcPr>
          <w:p w14:paraId="6CCB9E46" w14:textId="603C4993" w:rsidR="008B5A73" w:rsidRPr="00950B93" w:rsidRDefault="00B903A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общий объем вн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бюджетных инв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стиций в проект</w:t>
            </w:r>
          </w:p>
        </w:tc>
        <w:tc>
          <w:tcPr>
            <w:tcW w:w="852" w:type="dxa"/>
          </w:tcPr>
          <w:p w14:paraId="5A83D47F" w14:textId="1C8BC950" w:rsidR="008B5A73" w:rsidRPr="00950B93" w:rsidRDefault="0064275C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миллион рублей</w:t>
            </w:r>
          </w:p>
        </w:tc>
        <w:tc>
          <w:tcPr>
            <w:tcW w:w="567" w:type="dxa"/>
          </w:tcPr>
          <w:p w14:paraId="0E7BE9BA" w14:textId="78838F2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709" w:type="dxa"/>
          </w:tcPr>
          <w:p w14:paraId="42C23307" w14:textId="169EE4C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4922,75</w:t>
            </w:r>
          </w:p>
        </w:tc>
        <w:tc>
          <w:tcPr>
            <w:tcW w:w="708" w:type="dxa"/>
          </w:tcPr>
          <w:p w14:paraId="2F2C5EB3" w14:textId="2CA3AC8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4922,75</w:t>
            </w:r>
          </w:p>
        </w:tc>
        <w:tc>
          <w:tcPr>
            <w:tcW w:w="795" w:type="dxa"/>
          </w:tcPr>
          <w:p w14:paraId="5439B39F" w14:textId="0AAB266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7126,85</w:t>
            </w:r>
          </w:p>
        </w:tc>
        <w:tc>
          <w:tcPr>
            <w:tcW w:w="668" w:type="dxa"/>
          </w:tcPr>
          <w:p w14:paraId="44ACB640" w14:textId="770A576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2204,1</w:t>
            </w:r>
          </w:p>
        </w:tc>
        <w:tc>
          <w:tcPr>
            <w:tcW w:w="695" w:type="dxa"/>
          </w:tcPr>
          <w:p w14:paraId="3B8F835F" w14:textId="2DAE374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7817,09</w:t>
            </w:r>
          </w:p>
        </w:tc>
        <w:tc>
          <w:tcPr>
            <w:tcW w:w="752" w:type="dxa"/>
          </w:tcPr>
          <w:p w14:paraId="395F574D" w14:textId="0501D619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690,24</w:t>
            </w:r>
          </w:p>
        </w:tc>
        <w:tc>
          <w:tcPr>
            <w:tcW w:w="709" w:type="dxa"/>
          </w:tcPr>
          <w:p w14:paraId="6B6D8E8F" w14:textId="7E6B576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9368,41</w:t>
            </w:r>
          </w:p>
        </w:tc>
        <w:tc>
          <w:tcPr>
            <w:tcW w:w="788" w:type="dxa"/>
          </w:tcPr>
          <w:p w14:paraId="0A17D4CD" w14:textId="238A5782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1551,32</w:t>
            </w:r>
          </w:p>
        </w:tc>
        <w:tc>
          <w:tcPr>
            <w:tcW w:w="709" w:type="dxa"/>
          </w:tcPr>
          <w:p w14:paraId="50FB5538" w14:textId="0D4BCF5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0FF92B4" w14:textId="305D665D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14:paraId="351A608F" w14:textId="0A2CD50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14:paraId="36DDB24F" w14:textId="74F44B52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14:paraId="071C08D4" w14:textId="3A0AB5C2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F01F97" w14:textId="47EB97F6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53759CBD" w14:textId="343192F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1B14466" w14:textId="6CDF8BA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091F" w:rsidRPr="00950B93" w14:paraId="3DB6DDA9" w14:textId="496B743C" w:rsidTr="0064275C">
        <w:trPr>
          <w:trHeight w:val="20"/>
          <w:jc w:val="center"/>
        </w:trPr>
        <w:tc>
          <w:tcPr>
            <w:tcW w:w="1328" w:type="dxa"/>
            <w:vMerge/>
          </w:tcPr>
          <w:p w14:paraId="6550F56D" w14:textId="77777777" w:rsidR="008B5A73" w:rsidRPr="00950B93" w:rsidRDefault="008B5A73" w:rsidP="00950B9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</w:tcPr>
          <w:p w14:paraId="6DE43288" w14:textId="14186AAE" w:rsidR="008B5A73" w:rsidRPr="00950B93" w:rsidRDefault="00B903A4" w:rsidP="00324F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соблюдение сроков технологического присоединения, выполняемого в рамках реализации </w:t>
            </w:r>
          </w:p>
        </w:tc>
        <w:tc>
          <w:tcPr>
            <w:tcW w:w="852" w:type="dxa"/>
          </w:tcPr>
          <w:p w14:paraId="667386BC" w14:textId="32F76E71" w:rsidR="008B5A73" w:rsidRPr="00950B93" w:rsidRDefault="0064275C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14:paraId="7904D9E6" w14:textId="3F9E772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709" w:type="dxa"/>
          </w:tcPr>
          <w:p w14:paraId="4A283335" w14:textId="0DF0BA8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3414C67" w14:textId="6731863E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</w:tcPr>
          <w:p w14:paraId="7B1CBE37" w14:textId="71F7DC40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18BA4A08" w14:textId="4CC97A6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14:paraId="57B23A70" w14:textId="6868FA9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52" w:type="dxa"/>
          </w:tcPr>
          <w:p w14:paraId="410A1F39" w14:textId="1E6319ED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BA76FB" w14:textId="5AE6581C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14:paraId="6496844E" w14:textId="51CF2128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53AE02E" w14:textId="1237E675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693769B" w14:textId="0590D1B3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14:paraId="280F773E" w14:textId="1FC9868A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14:paraId="35706AEA" w14:textId="113B0CB1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14:paraId="5061F4FF" w14:textId="21628A64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2189454" w14:textId="5C63D89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BAD88C3" w14:textId="4F71844F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14:paraId="3A5707DA" w14:textId="287F4249" w:rsidR="008B5A73" w:rsidRPr="00950B93" w:rsidRDefault="008B5A73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1BFDE317" w14:textId="77777777" w:rsidR="0064275C" w:rsidRDefault="0064275C" w:rsidP="00842E5F">
      <w:pPr>
        <w:spacing w:after="0" w:line="240" w:lineRule="auto"/>
      </w:pPr>
    </w:p>
    <w:tbl>
      <w:tblPr>
        <w:tblStyle w:val="ac"/>
        <w:tblW w:w="16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656"/>
        <w:gridCol w:w="852"/>
        <w:gridCol w:w="567"/>
        <w:gridCol w:w="709"/>
        <w:gridCol w:w="708"/>
        <w:gridCol w:w="795"/>
        <w:gridCol w:w="668"/>
        <w:gridCol w:w="695"/>
        <w:gridCol w:w="752"/>
        <w:gridCol w:w="709"/>
        <w:gridCol w:w="788"/>
        <w:gridCol w:w="709"/>
        <w:gridCol w:w="708"/>
        <w:gridCol w:w="669"/>
        <w:gridCol w:w="706"/>
        <w:gridCol w:w="691"/>
        <w:gridCol w:w="709"/>
        <w:gridCol w:w="708"/>
        <w:gridCol w:w="709"/>
        <w:gridCol w:w="320"/>
      </w:tblGrid>
      <w:tr w:rsidR="004B1943" w:rsidRPr="00950B93" w14:paraId="6220E1F6" w14:textId="3FAC9BE2" w:rsidTr="004B1943">
        <w:trPr>
          <w:trHeight w:val="20"/>
          <w:jc w:val="center"/>
        </w:trPr>
        <w:tc>
          <w:tcPr>
            <w:tcW w:w="1328" w:type="dxa"/>
          </w:tcPr>
          <w:p w14:paraId="1CE9939E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14:paraId="47D0E851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346D560D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18AF667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B1BCAC6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43EE359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5" w:type="dxa"/>
          </w:tcPr>
          <w:p w14:paraId="5BA4A9DE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8" w:type="dxa"/>
          </w:tcPr>
          <w:p w14:paraId="57159000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5" w:type="dxa"/>
          </w:tcPr>
          <w:p w14:paraId="71422E7B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52" w:type="dxa"/>
          </w:tcPr>
          <w:p w14:paraId="12FE26C3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B21C6E7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88" w:type="dxa"/>
          </w:tcPr>
          <w:p w14:paraId="19D87160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1F82211B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5E3CC93F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69" w:type="dxa"/>
          </w:tcPr>
          <w:p w14:paraId="5D0157D1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6" w:type="dxa"/>
          </w:tcPr>
          <w:p w14:paraId="1792D647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91" w:type="dxa"/>
          </w:tcPr>
          <w:p w14:paraId="7733241A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7FFCF021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25951767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AF962B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0AFC" w14:textId="77777777" w:rsidR="004B1943" w:rsidRPr="00950B93" w:rsidRDefault="004B1943" w:rsidP="00D070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F24" w:rsidRPr="00950B93" w14:paraId="4944B385" w14:textId="77777777" w:rsidTr="004B1943">
        <w:trPr>
          <w:trHeight w:val="20"/>
          <w:jc w:val="center"/>
        </w:trPr>
        <w:tc>
          <w:tcPr>
            <w:tcW w:w="1328" w:type="dxa"/>
            <w:vMerge w:val="restart"/>
          </w:tcPr>
          <w:p w14:paraId="3F0AD354" w14:textId="215940C9" w:rsidR="00324F24" w:rsidRPr="00950B93" w:rsidRDefault="00324F24" w:rsidP="00950B9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технологич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ское присоед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нение к </w:t>
            </w:r>
            <w:proofErr w:type="spellStart"/>
            <w:proofErr w:type="gramStart"/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элек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трическим</w:t>
            </w:r>
            <w:proofErr w:type="spellEnd"/>
            <w:proofErr w:type="gramEnd"/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950B9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тям</w:t>
            </w:r>
          </w:p>
        </w:tc>
        <w:tc>
          <w:tcPr>
            <w:tcW w:w="1656" w:type="dxa"/>
          </w:tcPr>
          <w:p w14:paraId="1D5A21FF" w14:textId="07C14817" w:rsidR="00324F24" w:rsidRDefault="00324F2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инвестиционных проектов</w:t>
            </w:r>
          </w:p>
        </w:tc>
        <w:tc>
          <w:tcPr>
            <w:tcW w:w="852" w:type="dxa"/>
          </w:tcPr>
          <w:p w14:paraId="25D6FD5E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C2CECC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84452C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5E7364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567D84F7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</w:tcPr>
          <w:p w14:paraId="2862D611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</w:tcPr>
          <w:p w14:paraId="72BB17F3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</w:tcPr>
          <w:p w14:paraId="0E92B3F3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0E2FB2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</w:tcPr>
          <w:p w14:paraId="14487EE8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394972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C378F8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9" w:type="dxa"/>
          </w:tcPr>
          <w:p w14:paraId="7204CB23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CF1E019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dxa"/>
          </w:tcPr>
          <w:p w14:paraId="262EE597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2AA8C5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998262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2BA3F9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E4E0A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F24" w:rsidRPr="00950B93" w14:paraId="5AF72EE3" w14:textId="7CE3563C" w:rsidTr="004B1943">
        <w:trPr>
          <w:trHeight w:val="20"/>
          <w:jc w:val="center"/>
        </w:trPr>
        <w:tc>
          <w:tcPr>
            <w:tcW w:w="1328" w:type="dxa"/>
            <w:vMerge/>
          </w:tcPr>
          <w:p w14:paraId="7F7B0946" w14:textId="2D975309" w:rsidR="00324F24" w:rsidRPr="00950B93" w:rsidRDefault="00324F2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14:paraId="112D4D30" w14:textId="3F3CE396" w:rsidR="00324F24" w:rsidRPr="00950B93" w:rsidRDefault="00324F2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несено платы за технологическое присоединение к электрическим с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тям</w:t>
            </w:r>
          </w:p>
        </w:tc>
        <w:tc>
          <w:tcPr>
            <w:tcW w:w="852" w:type="dxa"/>
          </w:tcPr>
          <w:p w14:paraId="11F6EC3A" w14:textId="5010EC0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миллион рублей</w:t>
            </w:r>
          </w:p>
        </w:tc>
        <w:tc>
          <w:tcPr>
            <w:tcW w:w="567" w:type="dxa"/>
          </w:tcPr>
          <w:p w14:paraId="48D132FA" w14:textId="072ED45E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709" w:type="dxa"/>
          </w:tcPr>
          <w:p w14:paraId="32695037" w14:textId="0AF80568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0D3729C5" w14:textId="1AFC2383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184A319A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715D9BE9" w14:textId="55EB2132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2F3337FA" w14:textId="3865556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14:paraId="59937617" w14:textId="22893864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52" w:type="dxa"/>
          </w:tcPr>
          <w:p w14:paraId="36F6AFDB" w14:textId="0545191E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C8792FA" w14:textId="46E13DA2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14:paraId="7250F9BD" w14:textId="4A06505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6531313" w14:textId="12B44053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708" w:type="dxa"/>
          </w:tcPr>
          <w:p w14:paraId="57AD396B" w14:textId="54DFFEB9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669" w:type="dxa"/>
          </w:tcPr>
          <w:p w14:paraId="62A927A2" w14:textId="36DE98DF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24176</w:t>
            </w:r>
          </w:p>
        </w:tc>
        <w:tc>
          <w:tcPr>
            <w:tcW w:w="706" w:type="dxa"/>
          </w:tcPr>
          <w:p w14:paraId="3DE9751D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6176</w:t>
            </w:r>
          </w:p>
          <w:p w14:paraId="36A967BF" w14:textId="769A9A2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dxa"/>
          </w:tcPr>
          <w:p w14:paraId="606C2787" w14:textId="063A6B29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F741242" w14:textId="0A2DBBF2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280B3FF" w14:textId="178FE14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D2938C" w14:textId="05C2E4C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04331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F24" w:rsidRPr="00950B93" w14:paraId="24A21636" w14:textId="45CE9155" w:rsidTr="004B1943">
        <w:trPr>
          <w:trHeight w:val="20"/>
          <w:jc w:val="center"/>
        </w:trPr>
        <w:tc>
          <w:tcPr>
            <w:tcW w:w="1328" w:type="dxa"/>
            <w:vMerge/>
          </w:tcPr>
          <w:p w14:paraId="57CE95BA" w14:textId="77777777" w:rsidR="00324F24" w:rsidRPr="00950B93" w:rsidRDefault="00324F2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14:paraId="6E8F26DF" w14:textId="5E8468A6" w:rsidR="00324F24" w:rsidRPr="00950B93" w:rsidRDefault="004A28A9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беспечена гото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ность объектов и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фраструктуры (об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ъ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екты электроэнерг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тики ПАО «</w:t>
            </w:r>
            <w:proofErr w:type="spellStart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Росс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</w:t>
            </w:r>
            <w:proofErr w:type="spellEnd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»), создаваемых в соответствии с д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говором о технол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гическом присоед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нении к электрич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ским сетям объектов получателя субс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дии, исходя из фа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тических расходов на их выполнение</w:t>
            </w:r>
          </w:p>
        </w:tc>
        <w:tc>
          <w:tcPr>
            <w:tcW w:w="852" w:type="dxa"/>
          </w:tcPr>
          <w:p w14:paraId="04D31F38" w14:textId="7BE74DF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567" w:type="dxa"/>
          </w:tcPr>
          <w:p w14:paraId="32615188" w14:textId="3544FF5E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709" w:type="dxa"/>
          </w:tcPr>
          <w:p w14:paraId="7B27388E" w14:textId="77048FA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AB1A064" w14:textId="316552CD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</w:tcPr>
          <w:p w14:paraId="7B62D917" w14:textId="358ADC6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1A2F5379" w14:textId="2B36B71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14:paraId="2E10DF3D" w14:textId="6D1B7686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52" w:type="dxa"/>
          </w:tcPr>
          <w:p w14:paraId="431E52E7" w14:textId="519EEC36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EF48A97" w14:textId="58D8C56F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14:paraId="40A1E7E5" w14:textId="0F1B09C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B5BB4C9" w14:textId="6CBF47C5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14:paraId="1DD5DF68" w14:textId="57B01875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</w:tcPr>
          <w:p w14:paraId="000035E7" w14:textId="127AEEB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6" w:type="dxa"/>
          </w:tcPr>
          <w:p w14:paraId="126F1EED" w14:textId="5BD1F2B8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91" w:type="dxa"/>
          </w:tcPr>
          <w:p w14:paraId="0FA9C746" w14:textId="78A20EE8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03819E09" w14:textId="3E87CA56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A75D25E" w14:textId="70883A6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6FBAB4" w14:textId="5248D08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A3E40" w14:textId="77777777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4F24" w:rsidRPr="00950B93" w14:paraId="611E2B33" w14:textId="3E22E4F5" w:rsidTr="004B1943">
        <w:trPr>
          <w:trHeight w:val="20"/>
          <w:jc w:val="center"/>
        </w:trPr>
        <w:tc>
          <w:tcPr>
            <w:tcW w:w="1328" w:type="dxa"/>
            <w:vMerge/>
          </w:tcPr>
          <w:p w14:paraId="71A3EB35" w14:textId="77777777" w:rsidR="00324F24" w:rsidRPr="00950B93" w:rsidRDefault="00324F24" w:rsidP="00950B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6" w:type="dxa"/>
          </w:tcPr>
          <w:p w14:paraId="38834691" w14:textId="3BA4207C" w:rsidR="00324F24" w:rsidRPr="00950B93" w:rsidRDefault="004A28A9" w:rsidP="00950B9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ведены в эксплу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тацию объекты и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фраструктуры (об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ъ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екты электроэнерг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тики ПАО «</w:t>
            </w:r>
            <w:proofErr w:type="spellStart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Росс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</w:t>
            </w:r>
            <w:proofErr w:type="spellEnd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»), предусмотре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ные для организ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ции добычи меди, молибдена и попу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т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ных компонентов на Ак-</w:t>
            </w:r>
            <w:proofErr w:type="spellStart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Сугском</w:t>
            </w:r>
            <w:proofErr w:type="spellEnd"/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медно-порфировом мест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рождении в Респу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б</w:t>
            </w:r>
            <w:r w:rsidRPr="004A28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лике Тыва</w:t>
            </w:r>
          </w:p>
        </w:tc>
        <w:tc>
          <w:tcPr>
            <w:tcW w:w="852" w:type="dxa"/>
          </w:tcPr>
          <w:p w14:paraId="1F36FB53" w14:textId="03EA0FF8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1B54600B" w14:textId="77E33605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796</w:t>
            </w:r>
          </w:p>
        </w:tc>
        <w:tc>
          <w:tcPr>
            <w:tcW w:w="709" w:type="dxa"/>
          </w:tcPr>
          <w:p w14:paraId="0EF54504" w14:textId="629C4823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26554B6" w14:textId="20885D54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</w:tcPr>
          <w:p w14:paraId="346FB50A" w14:textId="2A712799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14:paraId="3C812244" w14:textId="5208E86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14:paraId="410C582E" w14:textId="3AC7BC3D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52" w:type="dxa"/>
          </w:tcPr>
          <w:p w14:paraId="119FAF83" w14:textId="1B8D3253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61CDD0D" w14:textId="12D05C8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14:paraId="0C5918DD" w14:textId="5E7AF16C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1B814B" w14:textId="673B4340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273BFE21" w14:textId="67287CFB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14:paraId="4390F056" w14:textId="173D778E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14:paraId="2A60DD7F" w14:textId="6BB28AE1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14:paraId="1F925C60" w14:textId="5E898B36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CDF7FEB" w14:textId="34D40DBD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3DC54FDA" w14:textId="3EDD088E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DE52B0" w14:textId="4CC99A09" w:rsidR="00324F24" w:rsidRPr="00950B93" w:rsidRDefault="00324F24" w:rsidP="00950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0B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B65E53" w14:textId="77000F2B" w:rsidR="00324F24" w:rsidRPr="00950B93" w:rsidRDefault="00324F24" w:rsidP="004B19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</w:tc>
      </w:tr>
    </w:tbl>
    <w:p w14:paraId="1DB7C62A" w14:textId="55209127" w:rsidR="005D4526" w:rsidRDefault="005D4526" w:rsidP="0015091F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2E173" w14:textId="77777777" w:rsidR="004B1943" w:rsidRPr="0015091F" w:rsidRDefault="004B1943" w:rsidP="0015091F">
      <w:pPr>
        <w:spacing w:after="0"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728D9" w14:textId="196D5A73" w:rsidR="00301ACF" w:rsidRPr="0015091F" w:rsidRDefault="00301ACF" w:rsidP="0015091F">
      <w:pPr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01ACF" w:rsidRPr="0015091F" w:rsidSect="00950B93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FCDBB42" w14:textId="633AC43A" w:rsidR="00D21EC4" w:rsidRPr="004B1943" w:rsidRDefault="00D21EC4" w:rsidP="004B194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Министерству топлива и энергетики Республики Тыва привести 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шения, </w:t>
      </w:r>
      <w:r w:rsidR="00420E44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заключенные 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2A22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E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Правительства Республики Тыва от 17 апреля 2020 г. № 169 «Об утверждении Порядка предоставления субсидий юридическим лицам на технологическое присоединение энергопр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нимающих устройств к электрическим сетям, выполняемое в рамках реализ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ции инвестиционных проектов по организации добычи меди, молибдена и п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55C8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путных компонентов</w:t>
      </w:r>
      <w:r w:rsidR="00F53DD9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22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F7D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настоящим постановлением.</w:t>
      </w:r>
      <w:proofErr w:type="gramEnd"/>
    </w:p>
    <w:p w14:paraId="3088CD87" w14:textId="306473A2" w:rsidR="001D4917" w:rsidRPr="004B1943" w:rsidRDefault="00D21EC4" w:rsidP="004B194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CF10C4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proofErr w:type="gramStart"/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</w:t>
      </w:r>
      <w:r w:rsidR="00BD4E23">
        <w:rPr>
          <w:rFonts w:ascii="Times New Roman" w:hAnsi="Times New Roman" w:cs="Times New Roman"/>
          <w:color w:val="000000" w:themeColor="text1"/>
          <w:sz w:val="28"/>
          <w:szCs w:val="28"/>
        </w:rPr>
        <w:t>ортале</w:t>
      </w:r>
      <w:proofErr w:type="gramEnd"/>
      <w:r w:rsidR="00BD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информации</w:t>
      </w:r>
      <w:r w:rsidR="00CF10C4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5" w:history="1"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D4917" w:rsidRPr="00BD4E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CF10C4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F10C4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4917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3C963C" w14:textId="296265A6" w:rsidR="002B080F" w:rsidRPr="004B1943" w:rsidRDefault="002B080F" w:rsidP="00BD4E2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418857" w14:textId="445C7EA7" w:rsidR="001D4917" w:rsidRPr="004B1943" w:rsidRDefault="001D4917" w:rsidP="00BD4E2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83257" w14:textId="77777777" w:rsidR="001D4917" w:rsidRPr="004B1943" w:rsidRDefault="001D4917" w:rsidP="00BD4E2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503168" w14:textId="48A38CFF" w:rsidR="001D4917" w:rsidRPr="004B1943" w:rsidRDefault="001D4917" w:rsidP="00BD4E2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3DD9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53DD9"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E23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4B1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Ховалыг</w:t>
      </w:r>
    </w:p>
    <w:sectPr w:rsidR="001D4917" w:rsidRPr="004B1943" w:rsidSect="004B19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08AB6" w14:textId="77777777" w:rsidR="005D0F2D" w:rsidRDefault="005D0F2D" w:rsidP="002E348F">
      <w:pPr>
        <w:spacing w:after="0" w:line="240" w:lineRule="auto"/>
      </w:pPr>
      <w:r>
        <w:separator/>
      </w:r>
    </w:p>
  </w:endnote>
  <w:endnote w:type="continuationSeparator" w:id="0">
    <w:p w14:paraId="2F7FF0BE" w14:textId="77777777" w:rsidR="005D0F2D" w:rsidRDefault="005D0F2D" w:rsidP="002E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27A1A" w14:textId="77777777" w:rsidR="005D0F2D" w:rsidRDefault="005D0F2D" w:rsidP="002E348F">
      <w:pPr>
        <w:spacing w:after="0" w:line="240" w:lineRule="auto"/>
      </w:pPr>
      <w:r>
        <w:separator/>
      </w:r>
    </w:p>
  </w:footnote>
  <w:footnote w:type="continuationSeparator" w:id="0">
    <w:p w14:paraId="6DDFE5EF" w14:textId="77777777" w:rsidR="005D0F2D" w:rsidRDefault="005D0F2D" w:rsidP="002E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048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C32CEAE" w14:textId="565CBF66" w:rsidR="009455C2" w:rsidRPr="002E348F" w:rsidRDefault="00E86C77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279854" wp14:editId="2AD685D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A5A5CD" w14:textId="3FC9732D" w:rsidR="00E86C77" w:rsidRPr="00E86C77" w:rsidRDefault="00E86C77" w:rsidP="00E86C7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620200099/29990(6)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61A5A5CD" w14:textId="3FC9732D" w:rsidR="00E86C77" w:rsidRPr="00E86C77" w:rsidRDefault="00E86C77" w:rsidP="00E86C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620200099/29990(6)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55C2" w:rsidRPr="002E348F">
          <w:rPr>
            <w:rFonts w:ascii="Times New Roman" w:hAnsi="Times New Roman" w:cs="Times New Roman"/>
            <w:sz w:val="24"/>
          </w:rPr>
          <w:fldChar w:fldCharType="begin"/>
        </w:r>
        <w:r w:rsidR="009455C2" w:rsidRPr="002E348F">
          <w:rPr>
            <w:rFonts w:ascii="Times New Roman" w:hAnsi="Times New Roman" w:cs="Times New Roman"/>
            <w:sz w:val="24"/>
          </w:rPr>
          <w:instrText>PAGE   \* MERGEFORMAT</w:instrText>
        </w:r>
        <w:r w:rsidR="009455C2" w:rsidRPr="002E348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455C2" w:rsidRPr="002E348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2FB"/>
    <w:multiLevelType w:val="hybridMultilevel"/>
    <w:tmpl w:val="7B2E3624"/>
    <w:lvl w:ilvl="0" w:tplc="14100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53efdb-954f-43a6-a6cd-734d388a9348"/>
  </w:docVars>
  <w:rsids>
    <w:rsidRoot w:val="008F6FD6"/>
    <w:rsid w:val="00007AF2"/>
    <w:rsid w:val="00044F7D"/>
    <w:rsid w:val="0015091F"/>
    <w:rsid w:val="0017045E"/>
    <w:rsid w:val="001B62E8"/>
    <w:rsid w:val="001C694A"/>
    <w:rsid w:val="001D4917"/>
    <w:rsid w:val="001E6D0F"/>
    <w:rsid w:val="00226F2D"/>
    <w:rsid w:val="0023586E"/>
    <w:rsid w:val="00277A27"/>
    <w:rsid w:val="00277E21"/>
    <w:rsid w:val="00277F72"/>
    <w:rsid w:val="002A2217"/>
    <w:rsid w:val="002A34A9"/>
    <w:rsid w:val="002B080F"/>
    <w:rsid w:val="002D28E1"/>
    <w:rsid w:val="002E09AB"/>
    <w:rsid w:val="002E348F"/>
    <w:rsid w:val="00300A33"/>
    <w:rsid w:val="00301ACF"/>
    <w:rsid w:val="00307865"/>
    <w:rsid w:val="00324F24"/>
    <w:rsid w:val="00383ED1"/>
    <w:rsid w:val="00387A7C"/>
    <w:rsid w:val="003C22A4"/>
    <w:rsid w:val="003C6738"/>
    <w:rsid w:val="00420E44"/>
    <w:rsid w:val="004347DC"/>
    <w:rsid w:val="00444237"/>
    <w:rsid w:val="0045251A"/>
    <w:rsid w:val="00464AF5"/>
    <w:rsid w:val="0046557F"/>
    <w:rsid w:val="004A28A9"/>
    <w:rsid w:val="004B1943"/>
    <w:rsid w:val="004C57C3"/>
    <w:rsid w:val="004C788D"/>
    <w:rsid w:val="004D790A"/>
    <w:rsid w:val="004E189F"/>
    <w:rsid w:val="004E6E77"/>
    <w:rsid w:val="00504BD3"/>
    <w:rsid w:val="00506484"/>
    <w:rsid w:val="005100C3"/>
    <w:rsid w:val="005175B5"/>
    <w:rsid w:val="005355A7"/>
    <w:rsid w:val="00551392"/>
    <w:rsid w:val="00562FA9"/>
    <w:rsid w:val="00585145"/>
    <w:rsid w:val="005D0F2D"/>
    <w:rsid w:val="005D2D74"/>
    <w:rsid w:val="005D4526"/>
    <w:rsid w:val="00611D3D"/>
    <w:rsid w:val="006212DB"/>
    <w:rsid w:val="00627EFF"/>
    <w:rsid w:val="00632E64"/>
    <w:rsid w:val="0064275C"/>
    <w:rsid w:val="0064574B"/>
    <w:rsid w:val="00662BB6"/>
    <w:rsid w:val="00671084"/>
    <w:rsid w:val="00694D76"/>
    <w:rsid w:val="006955C8"/>
    <w:rsid w:val="006B152D"/>
    <w:rsid w:val="006E3963"/>
    <w:rsid w:val="006E7C12"/>
    <w:rsid w:val="006F48AF"/>
    <w:rsid w:val="00714835"/>
    <w:rsid w:val="00714D77"/>
    <w:rsid w:val="0075696B"/>
    <w:rsid w:val="007853E8"/>
    <w:rsid w:val="007E39DA"/>
    <w:rsid w:val="00842E5F"/>
    <w:rsid w:val="00846231"/>
    <w:rsid w:val="0085017C"/>
    <w:rsid w:val="00873C9B"/>
    <w:rsid w:val="00875B9B"/>
    <w:rsid w:val="008B5A73"/>
    <w:rsid w:val="008F6FD6"/>
    <w:rsid w:val="0091107F"/>
    <w:rsid w:val="00925085"/>
    <w:rsid w:val="009455C2"/>
    <w:rsid w:val="00950B93"/>
    <w:rsid w:val="009557E2"/>
    <w:rsid w:val="009A64F9"/>
    <w:rsid w:val="009D0E67"/>
    <w:rsid w:val="00A400BD"/>
    <w:rsid w:val="00A42B73"/>
    <w:rsid w:val="00A54D78"/>
    <w:rsid w:val="00A763FE"/>
    <w:rsid w:val="00A852A7"/>
    <w:rsid w:val="00A97580"/>
    <w:rsid w:val="00AA3DD2"/>
    <w:rsid w:val="00AD5EA0"/>
    <w:rsid w:val="00B1672D"/>
    <w:rsid w:val="00B276DA"/>
    <w:rsid w:val="00B33A00"/>
    <w:rsid w:val="00B406B6"/>
    <w:rsid w:val="00B447DE"/>
    <w:rsid w:val="00B501B8"/>
    <w:rsid w:val="00B747AB"/>
    <w:rsid w:val="00B903A4"/>
    <w:rsid w:val="00B90715"/>
    <w:rsid w:val="00BB614E"/>
    <w:rsid w:val="00BD1D94"/>
    <w:rsid w:val="00BD4E23"/>
    <w:rsid w:val="00BE5D4D"/>
    <w:rsid w:val="00BF7938"/>
    <w:rsid w:val="00C165C9"/>
    <w:rsid w:val="00C20630"/>
    <w:rsid w:val="00C22298"/>
    <w:rsid w:val="00C37600"/>
    <w:rsid w:val="00C76DBB"/>
    <w:rsid w:val="00C9345F"/>
    <w:rsid w:val="00C96B73"/>
    <w:rsid w:val="00CA1282"/>
    <w:rsid w:val="00CB5A6B"/>
    <w:rsid w:val="00CC1A2D"/>
    <w:rsid w:val="00CD2DC1"/>
    <w:rsid w:val="00CE6E90"/>
    <w:rsid w:val="00CF10C4"/>
    <w:rsid w:val="00D0043A"/>
    <w:rsid w:val="00D0705D"/>
    <w:rsid w:val="00D21EC4"/>
    <w:rsid w:val="00D25E77"/>
    <w:rsid w:val="00D4161C"/>
    <w:rsid w:val="00D46F37"/>
    <w:rsid w:val="00D52EB4"/>
    <w:rsid w:val="00D632CD"/>
    <w:rsid w:val="00D76938"/>
    <w:rsid w:val="00D830D1"/>
    <w:rsid w:val="00D96A49"/>
    <w:rsid w:val="00DA5491"/>
    <w:rsid w:val="00DA561D"/>
    <w:rsid w:val="00DB677B"/>
    <w:rsid w:val="00DD2B90"/>
    <w:rsid w:val="00DE7079"/>
    <w:rsid w:val="00DF4CC2"/>
    <w:rsid w:val="00DF5FFA"/>
    <w:rsid w:val="00E123A3"/>
    <w:rsid w:val="00E41BAE"/>
    <w:rsid w:val="00E5755F"/>
    <w:rsid w:val="00E713AF"/>
    <w:rsid w:val="00E86C77"/>
    <w:rsid w:val="00E95DE8"/>
    <w:rsid w:val="00F15617"/>
    <w:rsid w:val="00F53DD9"/>
    <w:rsid w:val="00F54CEA"/>
    <w:rsid w:val="00F65E7B"/>
    <w:rsid w:val="00F76F09"/>
    <w:rsid w:val="00F91236"/>
    <w:rsid w:val="00FB17DF"/>
    <w:rsid w:val="00FD380F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58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6F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C96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rmal (Web)"/>
    <w:basedOn w:val="a"/>
    <w:uiPriority w:val="99"/>
    <w:unhideWhenUsed/>
    <w:rsid w:val="005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1704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78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A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E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8F"/>
  </w:style>
  <w:style w:type="paragraph" w:styleId="aa">
    <w:name w:val="footer"/>
    <w:basedOn w:val="a"/>
    <w:link w:val="ab"/>
    <w:uiPriority w:val="99"/>
    <w:unhideWhenUsed/>
    <w:rsid w:val="002E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8F"/>
  </w:style>
  <w:style w:type="table" w:styleId="ac">
    <w:name w:val="Table Grid"/>
    <w:basedOn w:val="a1"/>
    <w:uiPriority w:val="39"/>
    <w:rsid w:val="0095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F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6F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C96B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rmal (Web)"/>
    <w:basedOn w:val="a"/>
    <w:uiPriority w:val="99"/>
    <w:unhideWhenUsed/>
    <w:rsid w:val="005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1704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78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A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E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8F"/>
  </w:style>
  <w:style w:type="paragraph" w:styleId="aa">
    <w:name w:val="footer"/>
    <w:basedOn w:val="a"/>
    <w:link w:val="ab"/>
    <w:uiPriority w:val="99"/>
    <w:unhideWhenUsed/>
    <w:rsid w:val="002E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8F"/>
  </w:style>
  <w:style w:type="table" w:styleId="ac">
    <w:name w:val="Table Grid"/>
    <w:basedOn w:val="a1"/>
    <w:uiPriority w:val="39"/>
    <w:rsid w:val="0095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1749&amp;dst=1002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3722&amp;field=134&amp;date=16.10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s://login.consultant.ru/link/?req=doc&amp;base=LAW&amp;n=469774&amp;dst=3704&amp;field=134&amp;date=16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41749&amp;dst=100215" TargetMode="Externa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3252-1A2E-4D4F-9C2B-09AFD160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5455</Words>
  <Characters>31100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Akinin</dc:creator>
  <cp:lastModifiedBy>Грецких О.П.</cp:lastModifiedBy>
  <cp:revision>2</cp:revision>
  <cp:lastPrinted>2024-11-13T03:55:00Z</cp:lastPrinted>
  <dcterms:created xsi:type="dcterms:W3CDTF">2024-11-13T03:56:00Z</dcterms:created>
  <dcterms:modified xsi:type="dcterms:W3CDTF">2024-11-13T03:56:00Z</dcterms:modified>
</cp:coreProperties>
</file>