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6" w:rsidRDefault="00145256" w:rsidP="00145256">
      <w:pPr>
        <w:spacing w:after="200" w:line="276" w:lineRule="auto"/>
        <w:jc w:val="center"/>
        <w:rPr>
          <w:noProof/>
        </w:rPr>
      </w:pPr>
    </w:p>
    <w:p w:rsidR="00145256" w:rsidRDefault="00145256" w:rsidP="00145256">
      <w:pPr>
        <w:spacing w:after="200" w:line="276" w:lineRule="auto"/>
        <w:jc w:val="center"/>
        <w:rPr>
          <w:noProof/>
        </w:rPr>
      </w:pPr>
    </w:p>
    <w:p w:rsidR="00145256" w:rsidRDefault="00145256" w:rsidP="00145256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145256" w:rsidRPr="0025472A" w:rsidRDefault="00145256" w:rsidP="0014525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145256" w:rsidRPr="004C14FF" w:rsidRDefault="00145256" w:rsidP="0014525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622EF" w:rsidRDefault="004622EF" w:rsidP="004622EF">
      <w:pPr>
        <w:pStyle w:val="a5"/>
        <w:rPr>
          <w:b w:val="0"/>
          <w:bCs w:val="0"/>
          <w:szCs w:val="28"/>
        </w:rPr>
      </w:pPr>
    </w:p>
    <w:p w:rsidR="004622EF" w:rsidRDefault="004622EF" w:rsidP="004622EF">
      <w:pPr>
        <w:pStyle w:val="a5"/>
        <w:rPr>
          <w:b w:val="0"/>
          <w:bCs w:val="0"/>
          <w:szCs w:val="28"/>
        </w:rPr>
      </w:pPr>
    </w:p>
    <w:p w:rsidR="004622EF" w:rsidRDefault="00331617" w:rsidP="00331617">
      <w:pPr>
        <w:pStyle w:val="a5"/>
        <w:spacing w:line="360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 28 декабря 2024 г. № 607</w:t>
      </w:r>
    </w:p>
    <w:p w:rsidR="00331617" w:rsidRPr="004622EF" w:rsidRDefault="00331617" w:rsidP="00331617">
      <w:pPr>
        <w:pStyle w:val="a5"/>
        <w:spacing w:line="360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г. Кызыл</w:t>
      </w:r>
    </w:p>
    <w:p w:rsidR="00BF130F" w:rsidRDefault="00BF130F" w:rsidP="004622EF">
      <w:pPr>
        <w:tabs>
          <w:tab w:val="left" w:pos="5835"/>
        </w:tabs>
        <w:jc w:val="center"/>
        <w:rPr>
          <w:bCs/>
          <w:sz w:val="28"/>
          <w:szCs w:val="28"/>
        </w:rPr>
      </w:pPr>
    </w:p>
    <w:p w:rsidR="00145256" w:rsidRPr="004622EF" w:rsidRDefault="00145256" w:rsidP="004622EF">
      <w:pPr>
        <w:tabs>
          <w:tab w:val="left" w:pos="5835"/>
        </w:tabs>
        <w:jc w:val="center"/>
        <w:rPr>
          <w:bCs/>
          <w:sz w:val="28"/>
          <w:szCs w:val="28"/>
        </w:rPr>
      </w:pPr>
    </w:p>
    <w:p w:rsidR="004622EF" w:rsidRDefault="00232B7B" w:rsidP="004622EF">
      <w:pPr>
        <w:jc w:val="center"/>
        <w:rPr>
          <w:b/>
          <w:bCs/>
          <w:sz w:val="28"/>
          <w:szCs w:val="28"/>
        </w:rPr>
      </w:pPr>
      <w:r w:rsidRPr="004622EF">
        <w:rPr>
          <w:b/>
          <w:bCs/>
          <w:sz w:val="28"/>
          <w:szCs w:val="28"/>
        </w:rPr>
        <w:t xml:space="preserve">О внесении изменений в </w:t>
      </w:r>
      <w:r w:rsidR="00B07F53" w:rsidRPr="004622EF">
        <w:rPr>
          <w:b/>
          <w:bCs/>
          <w:sz w:val="28"/>
          <w:szCs w:val="28"/>
        </w:rPr>
        <w:t xml:space="preserve">Положение </w:t>
      </w:r>
    </w:p>
    <w:p w:rsidR="004622EF" w:rsidRDefault="00B07F53" w:rsidP="004622EF">
      <w:pPr>
        <w:jc w:val="center"/>
        <w:rPr>
          <w:b/>
          <w:bCs/>
          <w:sz w:val="28"/>
          <w:szCs w:val="28"/>
        </w:rPr>
      </w:pPr>
      <w:r w:rsidRPr="004622EF">
        <w:rPr>
          <w:b/>
          <w:bCs/>
          <w:sz w:val="28"/>
          <w:szCs w:val="28"/>
        </w:rPr>
        <w:t xml:space="preserve">о мерах по обеспечению исполнения </w:t>
      </w:r>
    </w:p>
    <w:p w:rsidR="004622EF" w:rsidRDefault="00B07F53" w:rsidP="004622EF">
      <w:pPr>
        <w:jc w:val="center"/>
        <w:rPr>
          <w:b/>
          <w:bCs/>
          <w:sz w:val="28"/>
          <w:szCs w:val="28"/>
        </w:rPr>
      </w:pPr>
      <w:r w:rsidRPr="004622EF">
        <w:rPr>
          <w:b/>
          <w:bCs/>
          <w:sz w:val="28"/>
          <w:szCs w:val="28"/>
        </w:rPr>
        <w:t xml:space="preserve">республиканского бюджета </w:t>
      </w:r>
    </w:p>
    <w:p w:rsidR="00815F68" w:rsidRPr="004622EF" w:rsidRDefault="00B07F53" w:rsidP="004622EF">
      <w:pPr>
        <w:jc w:val="center"/>
        <w:rPr>
          <w:b/>
          <w:bCs/>
          <w:sz w:val="28"/>
          <w:szCs w:val="28"/>
        </w:rPr>
      </w:pPr>
      <w:r w:rsidRPr="004622EF">
        <w:rPr>
          <w:b/>
          <w:bCs/>
          <w:sz w:val="28"/>
          <w:szCs w:val="28"/>
        </w:rPr>
        <w:t>Республики Тыва</w:t>
      </w:r>
    </w:p>
    <w:p w:rsidR="00470EA2" w:rsidRPr="004622EF" w:rsidRDefault="00470EA2" w:rsidP="004622EF">
      <w:pPr>
        <w:jc w:val="center"/>
        <w:rPr>
          <w:bCs/>
          <w:sz w:val="28"/>
          <w:szCs w:val="28"/>
        </w:rPr>
      </w:pPr>
    </w:p>
    <w:p w:rsidR="00BF130F" w:rsidRPr="004622EF" w:rsidRDefault="00BF130F" w:rsidP="004622EF">
      <w:pPr>
        <w:jc w:val="center"/>
        <w:rPr>
          <w:bCs/>
          <w:sz w:val="28"/>
          <w:szCs w:val="28"/>
        </w:rPr>
      </w:pPr>
    </w:p>
    <w:p w:rsidR="00815F68" w:rsidRPr="004622EF" w:rsidRDefault="00470EA2" w:rsidP="004622EF">
      <w:pPr>
        <w:spacing w:line="360" w:lineRule="atLeast"/>
        <w:ind w:firstLine="709"/>
        <w:jc w:val="both"/>
        <w:rPr>
          <w:sz w:val="28"/>
          <w:szCs w:val="28"/>
        </w:rPr>
      </w:pPr>
      <w:r w:rsidRPr="004622EF">
        <w:rPr>
          <w:sz w:val="28"/>
          <w:szCs w:val="28"/>
        </w:rPr>
        <w:t xml:space="preserve">В соответствии со </w:t>
      </w:r>
      <w:r w:rsidR="005E1E88" w:rsidRPr="004622EF">
        <w:rPr>
          <w:sz w:val="28"/>
          <w:szCs w:val="28"/>
        </w:rPr>
        <w:t>статьей</w:t>
      </w:r>
      <w:r w:rsidRPr="004622EF">
        <w:rPr>
          <w:sz w:val="28"/>
          <w:szCs w:val="28"/>
        </w:rPr>
        <w:t xml:space="preserve"> 1</w:t>
      </w:r>
      <w:r w:rsidR="005E1E88" w:rsidRPr="004622EF">
        <w:rPr>
          <w:sz w:val="28"/>
          <w:szCs w:val="28"/>
        </w:rPr>
        <w:t>5</w:t>
      </w:r>
      <w:r w:rsidRPr="004622EF">
        <w:rPr>
          <w:sz w:val="28"/>
          <w:szCs w:val="28"/>
        </w:rPr>
        <w:t xml:space="preserve"> Конституционного закона Республики Тыва от 31 декабря 2003 г. № 95 ВХ-I «О Правительстве Республики Тыва» </w:t>
      </w:r>
      <w:r w:rsidR="00815F68" w:rsidRPr="004622EF">
        <w:rPr>
          <w:sz w:val="28"/>
          <w:szCs w:val="28"/>
        </w:rPr>
        <w:t>Правительство Республики Тыва ПОСТАНОВЛЯЕТ:</w:t>
      </w:r>
    </w:p>
    <w:p w:rsidR="0007698B" w:rsidRPr="004622EF" w:rsidRDefault="0007698B" w:rsidP="004622EF">
      <w:pPr>
        <w:spacing w:line="360" w:lineRule="atLeast"/>
        <w:ind w:firstLine="709"/>
        <w:jc w:val="both"/>
        <w:rPr>
          <w:sz w:val="28"/>
          <w:szCs w:val="28"/>
        </w:rPr>
      </w:pPr>
    </w:p>
    <w:p w:rsidR="00232B7B" w:rsidRPr="004622EF" w:rsidRDefault="00232B7B" w:rsidP="004622EF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2EF">
        <w:rPr>
          <w:rFonts w:ascii="Times New Roman" w:hAnsi="Times New Roman"/>
          <w:sz w:val="28"/>
          <w:szCs w:val="28"/>
        </w:rPr>
        <w:t xml:space="preserve">1. Внести в </w:t>
      </w:r>
      <w:r w:rsidR="00B07F53" w:rsidRPr="004622EF">
        <w:rPr>
          <w:rFonts w:ascii="Times New Roman" w:hAnsi="Times New Roman"/>
          <w:sz w:val="28"/>
          <w:szCs w:val="28"/>
        </w:rPr>
        <w:t xml:space="preserve">Положение о мерах по обеспечению исполнения республиканского бюджета Республики Тыва, </w:t>
      </w:r>
      <w:r w:rsidR="00A138EA" w:rsidRPr="004622EF">
        <w:rPr>
          <w:rFonts w:ascii="Times New Roman" w:hAnsi="Times New Roman"/>
          <w:sz w:val="28"/>
          <w:szCs w:val="28"/>
        </w:rPr>
        <w:t>утвержденн</w:t>
      </w:r>
      <w:r w:rsidR="00B07F53" w:rsidRPr="004622EF">
        <w:rPr>
          <w:rFonts w:ascii="Times New Roman" w:hAnsi="Times New Roman"/>
          <w:sz w:val="28"/>
          <w:szCs w:val="28"/>
        </w:rPr>
        <w:t>о</w:t>
      </w:r>
      <w:r w:rsidR="00A138EA" w:rsidRPr="004622EF">
        <w:rPr>
          <w:rFonts w:ascii="Times New Roman" w:hAnsi="Times New Roman"/>
          <w:sz w:val="28"/>
          <w:szCs w:val="28"/>
        </w:rPr>
        <w:t xml:space="preserve">е постановлением Правительства Республики Тыва от </w:t>
      </w:r>
      <w:r w:rsidR="00B07F53" w:rsidRPr="004622EF">
        <w:rPr>
          <w:rFonts w:ascii="Times New Roman" w:hAnsi="Times New Roman"/>
          <w:sz w:val="28"/>
          <w:szCs w:val="28"/>
        </w:rPr>
        <w:t>19 февраля 2019</w:t>
      </w:r>
      <w:r w:rsidR="00A138EA" w:rsidRPr="004622EF">
        <w:rPr>
          <w:rFonts w:ascii="Times New Roman" w:hAnsi="Times New Roman"/>
          <w:sz w:val="28"/>
          <w:szCs w:val="28"/>
        </w:rPr>
        <w:t xml:space="preserve"> г. № </w:t>
      </w:r>
      <w:r w:rsidR="00B07F53" w:rsidRPr="004622EF">
        <w:rPr>
          <w:rFonts w:ascii="Times New Roman" w:hAnsi="Times New Roman"/>
          <w:sz w:val="28"/>
          <w:szCs w:val="28"/>
        </w:rPr>
        <w:t>89</w:t>
      </w:r>
      <w:r w:rsidR="00A138EA" w:rsidRPr="004622EF">
        <w:rPr>
          <w:rFonts w:ascii="Times New Roman" w:hAnsi="Times New Roman"/>
          <w:sz w:val="28"/>
          <w:szCs w:val="28"/>
        </w:rPr>
        <w:t xml:space="preserve">, </w:t>
      </w:r>
      <w:r w:rsidRPr="004622EF">
        <w:rPr>
          <w:rFonts w:ascii="Times New Roman" w:hAnsi="Times New Roman"/>
          <w:sz w:val="28"/>
          <w:szCs w:val="28"/>
        </w:rPr>
        <w:t>следующие изменения:</w:t>
      </w:r>
    </w:p>
    <w:p w:rsidR="0090697E" w:rsidRPr="004622EF" w:rsidRDefault="00564FF4" w:rsidP="004622EF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</w:pPr>
      <w:r w:rsidRPr="004622EF">
        <w:rPr>
          <w:rFonts w:ascii="Times New Roman" w:hAnsi="Times New Roman"/>
          <w:sz w:val="28"/>
          <w:szCs w:val="28"/>
        </w:rPr>
        <w:t>1</w:t>
      </w:r>
      <w:r w:rsidR="00BF130F" w:rsidRPr="004622EF">
        <w:rPr>
          <w:rFonts w:ascii="Times New Roman" w:hAnsi="Times New Roman"/>
          <w:sz w:val="28"/>
          <w:szCs w:val="28"/>
        </w:rPr>
        <w:t>)</w:t>
      </w:r>
      <w:r w:rsidRPr="004622EF">
        <w:rPr>
          <w:rFonts w:ascii="Times New Roman" w:hAnsi="Times New Roman"/>
          <w:sz w:val="28"/>
          <w:szCs w:val="28"/>
        </w:rPr>
        <w:t xml:space="preserve"> </w:t>
      </w:r>
      <w:r w:rsidR="0090697E" w:rsidRPr="004622EF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 xml:space="preserve">пункт </w:t>
      </w:r>
      <w:r w:rsidR="00B07F53" w:rsidRPr="004622EF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="0090697E" w:rsidRPr="004622EF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177262" w:rsidRPr="004622EF" w:rsidRDefault="007721F8" w:rsidP="004622EF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Установить, что с 2024 года операции со средствами субсидий и средствами от приносящей доход деятельности, получаемыми государственными автономными учреждениями, за исключением ГАУ «Информационный центр туризма Республики Тыва», ГАУ ДО </w:t>
      </w:r>
      <w:r w:rsidR="00175F94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Тыва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F94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Спортивная школа «</w:t>
      </w:r>
      <w:proofErr w:type="spellStart"/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Субедей</w:t>
      </w:r>
      <w:proofErr w:type="spellEnd"/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ГАУ «Управление государственной строительной экспертизы </w:t>
      </w:r>
      <w:r w:rsidR="00175F94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Тыва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», осуществляются на казначейских счетах для осуществления и отражения операций с денежными средствами государственных бюджетных и автономных учреждений и отражаются на соответствующих лицевых счетах, открытых государственным автономным учреждениям в Управлении Федерального казначейства по Республике Тыва в порядке, установленном Феде</w:t>
      </w:r>
      <w:r w:rsidR="00B07F53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ральным казначейством, за исключением операций, осуществляемых в соответствии с федеральными законами только на счетах, откр</w:t>
      </w:r>
      <w:r w:rsidR="007B3A60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ытых в кредитных организациях.»;</w:t>
      </w:r>
    </w:p>
    <w:p w:rsidR="00B07F53" w:rsidRPr="004622EF" w:rsidRDefault="00B07F53" w:rsidP="004622EF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</w:pP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4622EF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пункт 6.1 изложить в следующей редакции:</w:t>
      </w:r>
    </w:p>
    <w:p w:rsidR="00B07F53" w:rsidRPr="004622EF" w:rsidRDefault="00B07F53" w:rsidP="004622EF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«6.1.</w:t>
      </w:r>
      <w:r w:rsidRPr="004622EF">
        <w:t xml:space="preserve"> 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Установить, что средства от возврата ранее произведенных государственными автономными учреждениями, за исключением ГАУ «Информационный центр туризма Республики Тыва», ГАУ ДО </w:t>
      </w:r>
      <w:r w:rsidR="00C6228A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Тыва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470D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Спортивная школа «</w:t>
      </w:r>
      <w:proofErr w:type="spellStart"/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Субедей</w:t>
      </w:r>
      <w:proofErr w:type="spellEnd"/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ГАУ «Управление государственной строительной экспертизы </w:t>
      </w:r>
      <w:r w:rsidR="00BF470D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Тыва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», выплат подлежат перечислению на соответствующие лицевые счета, открываемые государственным автономным учреждениям в Управлении Федерального казначейства по Республике Тыва</w:t>
      </w:r>
      <w:r w:rsidR="00B33F49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порядке, установленном Федеральным казначейством.</w:t>
      </w:r>
      <w:r w:rsidR="007B3A60" w:rsidRPr="004622EF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815F68" w:rsidRPr="004622EF" w:rsidRDefault="0041576A" w:rsidP="004622EF">
      <w:pPr>
        <w:spacing w:line="360" w:lineRule="atLeast"/>
        <w:ind w:firstLine="709"/>
        <w:jc w:val="both"/>
        <w:rPr>
          <w:sz w:val="28"/>
          <w:szCs w:val="28"/>
        </w:rPr>
      </w:pPr>
      <w:r w:rsidRPr="004622EF">
        <w:rPr>
          <w:sz w:val="28"/>
          <w:szCs w:val="28"/>
        </w:rPr>
        <w:t xml:space="preserve">3) </w:t>
      </w:r>
      <w:r w:rsidR="009370C4" w:rsidRPr="004622EF">
        <w:rPr>
          <w:sz w:val="28"/>
          <w:szCs w:val="28"/>
        </w:rPr>
        <w:t xml:space="preserve">пункт 9 </w:t>
      </w:r>
      <w:r w:rsidRPr="004622EF">
        <w:rPr>
          <w:sz w:val="28"/>
          <w:szCs w:val="28"/>
        </w:rPr>
        <w:t xml:space="preserve">дополнить </w:t>
      </w:r>
      <w:r w:rsidR="009370C4" w:rsidRPr="004622EF">
        <w:rPr>
          <w:sz w:val="28"/>
          <w:szCs w:val="28"/>
        </w:rPr>
        <w:t>под</w:t>
      </w:r>
      <w:r w:rsidRPr="004622EF">
        <w:rPr>
          <w:sz w:val="28"/>
          <w:szCs w:val="28"/>
        </w:rPr>
        <w:t xml:space="preserve">пунктом </w:t>
      </w:r>
      <w:r w:rsidR="00396BA1" w:rsidRPr="004622EF">
        <w:rPr>
          <w:sz w:val="28"/>
          <w:szCs w:val="28"/>
        </w:rPr>
        <w:t xml:space="preserve">«г» </w:t>
      </w:r>
      <w:r w:rsidRPr="004622EF">
        <w:rPr>
          <w:sz w:val="28"/>
          <w:szCs w:val="28"/>
        </w:rPr>
        <w:t>следующего содержания:</w:t>
      </w:r>
    </w:p>
    <w:p w:rsidR="0041576A" w:rsidRPr="004622EF" w:rsidRDefault="003413E6" w:rsidP="004622E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2EF">
        <w:rPr>
          <w:rFonts w:eastAsiaTheme="minorHAnsi"/>
          <w:sz w:val="28"/>
          <w:szCs w:val="28"/>
          <w:lang w:eastAsia="en-US"/>
        </w:rPr>
        <w:t>«</w:t>
      </w:r>
      <w:r w:rsidR="00396BA1" w:rsidRPr="004622EF">
        <w:rPr>
          <w:rFonts w:eastAsiaTheme="minorHAnsi"/>
          <w:sz w:val="28"/>
          <w:szCs w:val="28"/>
          <w:lang w:eastAsia="en-US"/>
        </w:rPr>
        <w:t>г)</w:t>
      </w:r>
      <w:r w:rsidR="0041576A" w:rsidRPr="004622EF">
        <w:rPr>
          <w:rFonts w:eastAsiaTheme="minorHAnsi"/>
          <w:sz w:val="28"/>
          <w:szCs w:val="28"/>
          <w:lang w:eastAsia="en-US"/>
        </w:rPr>
        <w:t xml:space="preserve"> операции со средствами субсидий, предоставляемых из </w:t>
      </w:r>
      <w:r w:rsidR="00845C70" w:rsidRPr="004622EF">
        <w:rPr>
          <w:rFonts w:eastAsiaTheme="minorHAnsi"/>
          <w:sz w:val="28"/>
          <w:szCs w:val="28"/>
          <w:lang w:eastAsia="en-US"/>
        </w:rPr>
        <w:t>республиканского</w:t>
      </w:r>
      <w:r w:rsidR="0041576A" w:rsidRPr="004622EF">
        <w:rPr>
          <w:rFonts w:eastAsiaTheme="minorHAnsi"/>
          <w:sz w:val="28"/>
          <w:szCs w:val="28"/>
          <w:lang w:eastAsia="en-US"/>
        </w:rPr>
        <w:t xml:space="preserve"> бюджета </w:t>
      </w:r>
      <w:r w:rsidR="00845C70" w:rsidRPr="004622EF">
        <w:rPr>
          <w:rFonts w:eastAsiaTheme="minorHAnsi"/>
          <w:sz w:val="28"/>
          <w:szCs w:val="28"/>
          <w:lang w:eastAsia="en-US"/>
        </w:rPr>
        <w:t>ГУП Р</w:t>
      </w:r>
      <w:r w:rsidRPr="004622EF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845C70" w:rsidRPr="004622EF">
        <w:rPr>
          <w:rFonts w:eastAsiaTheme="minorHAnsi"/>
          <w:sz w:val="28"/>
          <w:szCs w:val="28"/>
          <w:lang w:eastAsia="en-US"/>
        </w:rPr>
        <w:t>Т</w:t>
      </w:r>
      <w:r w:rsidRPr="004622EF">
        <w:rPr>
          <w:rFonts w:eastAsiaTheme="minorHAnsi"/>
          <w:sz w:val="28"/>
          <w:szCs w:val="28"/>
          <w:lang w:eastAsia="en-US"/>
        </w:rPr>
        <w:t>ыва</w:t>
      </w:r>
      <w:r w:rsidR="00845C70" w:rsidRPr="004622EF">
        <w:rPr>
          <w:rFonts w:eastAsiaTheme="minorHAnsi"/>
          <w:sz w:val="28"/>
          <w:szCs w:val="28"/>
          <w:lang w:eastAsia="en-US"/>
        </w:rPr>
        <w:t xml:space="preserve"> «</w:t>
      </w:r>
      <w:r w:rsidRPr="004622EF">
        <w:rPr>
          <w:rFonts w:eastAsiaTheme="minorHAnsi"/>
          <w:sz w:val="28"/>
          <w:szCs w:val="28"/>
          <w:lang w:eastAsia="en-US"/>
        </w:rPr>
        <w:t xml:space="preserve">Управляющая компания </w:t>
      </w:r>
      <w:r w:rsidR="00845C70" w:rsidRPr="004622EF">
        <w:rPr>
          <w:rFonts w:eastAsiaTheme="minorHAnsi"/>
          <w:sz w:val="28"/>
          <w:szCs w:val="28"/>
          <w:lang w:eastAsia="en-US"/>
        </w:rPr>
        <w:t>ТЭК 4»</w:t>
      </w:r>
      <w:r w:rsidR="00396BA1" w:rsidRPr="004622EF">
        <w:rPr>
          <w:rFonts w:eastAsiaTheme="minorHAnsi"/>
          <w:sz w:val="28"/>
          <w:szCs w:val="28"/>
          <w:lang w:eastAsia="en-US"/>
        </w:rPr>
        <w:t>,</w:t>
      </w:r>
      <w:r w:rsidR="0041576A" w:rsidRPr="004622EF">
        <w:rPr>
          <w:rFonts w:eastAsiaTheme="minorHAnsi"/>
          <w:sz w:val="28"/>
          <w:szCs w:val="28"/>
          <w:lang w:eastAsia="en-US"/>
        </w:rPr>
        <w:t xml:space="preserve"> осуществляются на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счетах, открываемых юридическим лицам в территориальных органах Федерального казначейства в порядке, установле</w:t>
      </w:r>
      <w:r w:rsidR="00845C70" w:rsidRPr="004622EF">
        <w:rPr>
          <w:rFonts w:eastAsiaTheme="minorHAnsi"/>
          <w:sz w:val="28"/>
          <w:szCs w:val="28"/>
          <w:lang w:eastAsia="en-US"/>
        </w:rPr>
        <w:t>нном Федеральным казначейством.</w:t>
      </w:r>
      <w:r w:rsidRPr="004622EF">
        <w:rPr>
          <w:rFonts w:eastAsiaTheme="minorHAnsi"/>
          <w:sz w:val="28"/>
          <w:szCs w:val="28"/>
          <w:lang w:eastAsia="en-US"/>
        </w:rPr>
        <w:t>».</w:t>
      </w:r>
    </w:p>
    <w:p w:rsidR="000357E1" w:rsidRPr="004622EF" w:rsidRDefault="00C1087B" w:rsidP="004622E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2EF">
        <w:rPr>
          <w:rFonts w:eastAsiaTheme="minorHAnsi"/>
          <w:sz w:val="28"/>
          <w:szCs w:val="28"/>
          <w:lang w:eastAsia="en-US"/>
        </w:rPr>
        <w:t xml:space="preserve">2. </w:t>
      </w:r>
      <w:r w:rsidR="000357E1" w:rsidRPr="004622EF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1087B" w:rsidRDefault="00C1087B" w:rsidP="004622E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2EF">
        <w:rPr>
          <w:rFonts w:eastAsiaTheme="minorHAnsi"/>
          <w:sz w:val="28"/>
          <w:szCs w:val="28"/>
          <w:lang w:eastAsia="en-US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7698B" w:rsidRDefault="0007698B" w:rsidP="0007698B">
      <w:pPr>
        <w:tabs>
          <w:tab w:val="left" w:pos="2410"/>
          <w:tab w:val="left" w:pos="6237"/>
        </w:tabs>
        <w:jc w:val="both"/>
        <w:rPr>
          <w:sz w:val="28"/>
          <w:szCs w:val="28"/>
        </w:rPr>
      </w:pPr>
    </w:p>
    <w:p w:rsidR="00763DD3" w:rsidRDefault="00763DD3" w:rsidP="0007698B">
      <w:pPr>
        <w:tabs>
          <w:tab w:val="left" w:pos="2410"/>
          <w:tab w:val="left" w:pos="6237"/>
        </w:tabs>
        <w:jc w:val="both"/>
        <w:rPr>
          <w:sz w:val="28"/>
          <w:szCs w:val="28"/>
        </w:rPr>
      </w:pPr>
    </w:p>
    <w:p w:rsidR="00396BA1" w:rsidRPr="00CA02CE" w:rsidRDefault="00396BA1" w:rsidP="0007698B">
      <w:pPr>
        <w:tabs>
          <w:tab w:val="left" w:pos="2410"/>
          <w:tab w:val="left" w:pos="6237"/>
        </w:tabs>
        <w:jc w:val="both"/>
        <w:rPr>
          <w:sz w:val="28"/>
          <w:szCs w:val="28"/>
        </w:rPr>
      </w:pPr>
    </w:p>
    <w:p w:rsidR="005B1BFE" w:rsidRDefault="005B1BFE" w:rsidP="005B1B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 </w:t>
      </w:r>
    </w:p>
    <w:p w:rsidR="005B1BFE" w:rsidRPr="00105802" w:rsidRDefault="005B1BFE" w:rsidP="005B1B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Правительства </w:t>
      </w:r>
      <w:r w:rsidRPr="00105802">
        <w:rPr>
          <w:color w:val="000000" w:themeColor="text1"/>
          <w:sz w:val="28"/>
          <w:szCs w:val="28"/>
        </w:rPr>
        <w:t xml:space="preserve">Республики Тыва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А. </w:t>
      </w:r>
      <w:proofErr w:type="spellStart"/>
      <w:r>
        <w:rPr>
          <w:color w:val="000000" w:themeColor="text1"/>
          <w:sz w:val="28"/>
          <w:szCs w:val="28"/>
        </w:rPr>
        <w:t>Чюдюк</w:t>
      </w:r>
      <w:proofErr w:type="spellEnd"/>
    </w:p>
    <w:p w:rsidR="00FC188C" w:rsidRPr="005B1BFE" w:rsidRDefault="00FC188C" w:rsidP="005B1BFE">
      <w:pPr>
        <w:jc w:val="both"/>
        <w:rPr>
          <w:color w:val="000000"/>
          <w:sz w:val="28"/>
          <w:szCs w:val="28"/>
        </w:rPr>
      </w:pPr>
    </w:p>
    <w:sectPr w:rsidR="00FC188C" w:rsidRPr="005B1BFE" w:rsidSect="00763DD3">
      <w:headerReference w:type="default" r:id="rId7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61" w:rsidRDefault="00176761" w:rsidP="009D47AA">
      <w:r>
        <w:separator/>
      </w:r>
    </w:p>
  </w:endnote>
  <w:endnote w:type="continuationSeparator" w:id="0">
    <w:p w:rsidR="00176761" w:rsidRDefault="00176761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61" w:rsidRDefault="00176761" w:rsidP="009D47AA">
      <w:r>
        <w:separator/>
      </w:r>
    </w:p>
  </w:footnote>
  <w:footnote w:type="continuationSeparator" w:id="0">
    <w:p w:rsidR="00176761" w:rsidRDefault="00176761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E1" w:rsidRDefault="000357E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2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781e3c-ed77-4a02-94aa-b2fe3a87826e"/>
  </w:docVars>
  <w:rsids>
    <w:rsidRoot w:val="00815F68"/>
    <w:rsid w:val="000011E7"/>
    <w:rsid w:val="00012BFD"/>
    <w:rsid w:val="00013D17"/>
    <w:rsid w:val="00017830"/>
    <w:rsid w:val="000357E1"/>
    <w:rsid w:val="00035D39"/>
    <w:rsid w:val="000439E2"/>
    <w:rsid w:val="0004455F"/>
    <w:rsid w:val="00060469"/>
    <w:rsid w:val="00060FF7"/>
    <w:rsid w:val="00073D28"/>
    <w:rsid w:val="0007698B"/>
    <w:rsid w:val="00077875"/>
    <w:rsid w:val="000912C3"/>
    <w:rsid w:val="000A3D0C"/>
    <w:rsid w:val="000A7CED"/>
    <w:rsid w:val="000D5F23"/>
    <w:rsid w:val="000F1F9B"/>
    <w:rsid w:val="000F4BA0"/>
    <w:rsid w:val="00102E83"/>
    <w:rsid w:val="00130BB4"/>
    <w:rsid w:val="00145256"/>
    <w:rsid w:val="0014765D"/>
    <w:rsid w:val="001518A1"/>
    <w:rsid w:val="001754D0"/>
    <w:rsid w:val="00175F94"/>
    <w:rsid w:val="00176761"/>
    <w:rsid w:val="00177262"/>
    <w:rsid w:val="00181EC2"/>
    <w:rsid w:val="001A61C4"/>
    <w:rsid w:val="001C63C1"/>
    <w:rsid w:val="001E34DA"/>
    <w:rsid w:val="001F1168"/>
    <w:rsid w:val="00213771"/>
    <w:rsid w:val="00232B7B"/>
    <w:rsid w:val="00282FE5"/>
    <w:rsid w:val="00284605"/>
    <w:rsid w:val="00285897"/>
    <w:rsid w:val="00290FA4"/>
    <w:rsid w:val="00294021"/>
    <w:rsid w:val="002A4D4A"/>
    <w:rsid w:val="002B5278"/>
    <w:rsid w:val="002C642F"/>
    <w:rsid w:val="002D0A3E"/>
    <w:rsid w:val="003079C2"/>
    <w:rsid w:val="0032509A"/>
    <w:rsid w:val="00331617"/>
    <w:rsid w:val="003413E6"/>
    <w:rsid w:val="003543DB"/>
    <w:rsid w:val="00354C2D"/>
    <w:rsid w:val="00396BA1"/>
    <w:rsid w:val="003A1549"/>
    <w:rsid w:val="003B4E04"/>
    <w:rsid w:val="003C30F9"/>
    <w:rsid w:val="003D2E58"/>
    <w:rsid w:val="00403ED3"/>
    <w:rsid w:val="0041576A"/>
    <w:rsid w:val="0044444C"/>
    <w:rsid w:val="004467BE"/>
    <w:rsid w:val="004511C2"/>
    <w:rsid w:val="004622EF"/>
    <w:rsid w:val="004661FD"/>
    <w:rsid w:val="00470EA2"/>
    <w:rsid w:val="004936A5"/>
    <w:rsid w:val="004960A1"/>
    <w:rsid w:val="004A05D6"/>
    <w:rsid w:val="004B40B4"/>
    <w:rsid w:val="004B53F6"/>
    <w:rsid w:val="004F0C15"/>
    <w:rsid w:val="004F440A"/>
    <w:rsid w:val="004F7659"/>
    <w:rsid w:val="0052547D"/>
    <w:rsid w:val="00537733"/>
    <w:rsid w:val="00545332"/>
    <w:rsid w:val="00545DC0"/>
    <w:rsid w:val="00564FF4"/>
    <w:rsid w:val="005748AB"/>
    <w:rsid w:val="00593B77"/>
    <w:rsid w:val="005B1BFE"/>
    <w:rsid w:val="005B3900"/>
    <w:rsid w:val="005C4073"/>
    <w:rsid w:val="005E0E0E"/>
    <w:rsid w:val="005E1E88"/>
    <w:rsid w:val="005F2DCB"/>
    <w:rsid w:val="00604B93"/>
    <w:rsid w:val="00605C41"/>
    <w:rsid w:val="00621D59"/>
    <w:rsid w:val="00633821"/>
    <w:rsid w:val="0065593B"/>
    <w:rsid w:val="00672F95"/>
    <w:rsid w:val="00680A42"/>
    <w:rsid w:val="006D7E04"/>
    <w:rsid w:val="006F6FB7"/>
    <w:rsid w:val="00713B7A"/>
    <w:rsid w:val="00736C7E"/>
    <w:rsid w:val="00745D07"/>
    <w:rsid w:val="007460D6"/>
    <w:rsid w:val="00763DD3"/>
    <w:rsid w:val="007721F8"/>
    <w:rsid w:val="00773F47"/>
    <w:rsid w:val="007774EE"/>
    <w:rsid w:val="0079587B"/>
    <w:rsid w:val="007A3E22"/>
    <w:rsid w:val="007A7B68"/>
    <w:rsid w:val="007B3A60"/>
    <w:rsid w:val="007B3D9C"/>
    <w:rsid w:val="007B6026"/>
    <w:rsid w:val="007E568A"/>
    <w:rsid w:val="007E6FC5"/>
    <w:rsid w:val="00813D39"/>
    <w:rsid w:val="0081518B"/>
    <w:rsid w:val="00815F68"/>
    <w:rsid w:val="00834A82"/>
    <w:rsid w:val="00834E68"/>
    <w:rsid w:val="00845C70"/>
    <w:rsid w:val="00887595"/>
    <w:rsid w:val="008924D2"/>
    <w:rsid w:val="008A09E0"/>
    <w:rsid w:val="008A4168"/>
    <w:rsid w:val="008B5321"/>
    <w:rsid w:val="008F4F58"/>
    <w:rsid w:val="008F6AD5"/>
    <w:rsid w:val="0090697E"/>
    <w:rsid w:val="00916616"/>
    <w:rsid w:val="0092747C"/>
    <w:rsid w:val="009370C4"/>
    <w:rsid w:val="00942773"/>
    <w:rsid w:val="00955CC0"/>
    <w:rsid w:val="00963BE9"/>
    <w:rsid w:val="00964254"/>
    <w:rsid w:val="009B575F"/>
    <w:rsid w:val="009D47AA"/>
    <w:rsid w:val="009F2682"/>
    <w:rsid w:val="009F5A74"/>
    <w:rsid w:val="009F5FE1"/>
    <w:rsid w:val="00A138EA"/>
    <w:rsid w:val="00A21161"/>
    <w:rsid w:val="00A34935"/>
    <w:rsid w:val="00A41753"/>
    <w:rsid w:val="00A45A12"/>
    <w:rsid w:val="00A50B13"/>
    <w:rsid w:val="00A54AB7"/>
    <w:rsid w:val="00A72E8B"/>
    <w:rsid w:val="00A813B0"/>
    <w:rsid w:val="00A85416"/>
    <w:rsid w:val="00A87059"/>
    <w:rsid w:val="00AC0891"/>
    <w:rsid w:val="00AF46F6"/>
    <w:rsid w:val="00B00DE1"/>
    <w:rsid w:val="00B07F53"/>
    <w:rsid w:val="00B15B58"/>
    <w:rsid w:val="00B33F49"/>
    <w:rsid w:val="00B62056"/>
    <w:rsid w:val="00B70B90"/>
    <w:rsid w:val="00BB2189"/>
    <w:rsid w:val="00BD0D1E"/>
    <w:rsid w:val="00BE6DD1"/>
    <w:rsid w:val="00BF130F"/>
    <w:rsid w:val="00BF1C47"/>
    <w:rsid w:val="00BF470D"/>
    <w:rsid w:val="00BF6F5C"/>
    <w:rsid w:val="00C015B1"/>
    <w:rsid w:val="00C1087B"/>
    <w:rsid w:val="00C118DC"/>
    <w:rsid w:val="00C6228A"/>
    <w:rsid w:val="00C66BF5"/>
    <w:rsid w:val="00C73894"/>
    <w:rsid w:val="00C962AA"/>
    <w:rsid w:val="00CA4253"/>
    <w:rsid w:val="00CC0AAB"/>
    <w:rsid w:val="00CC3C83"/>
    <w:rsid w:val="00CD207B"/>
    <w:rsid w:val="00CD6F46"/>
    <w:rsid w:val="00CE5BC1"/>
    <w:rsid w:val="00CE6D72"/>
    <w:rsid w:val="00CF3DF0"/>
    <w:rsid w:val="00D2429C"/>
    <w:rsid w:val="00D5289C"/>
    <w:rsid w:val="00D57134"/>
    <w:rsid w:val="00DB0B05"/>
    <w:rsid w:val="00DC6839"/>
    <w:rsid w:val="00DE48F5"/>
    <w:rsid w:val="00DF48EA"/>
    <w:rsid w:val="00DF7AA6"/>
    <w:rsid w:val="00E318F5"/>
    <w:rsid w:val="00E82981"/>
    <w:rsid w:val="00E94E45"/>
    <w:rsid w:val="00EB3791"/>
    <w:rsid w:val="00ED04A7"/>
    <w:rsid w:val="00ED5A83"/>
    <w:rsid w:val="00ED6726"/>
    <w:rsid w:val="00F07617"/>
    <w:rsid w:val="00F1537A"/>
    <w:rsid w:val="00F31500"/>
    <w:rsid w:val="00F50398"/>
    <w:rsid w:val="00F54B23"/>
    <w:rsid w:val="00FC188C"/>
    <w:rsid w:val="00FD0742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02B28-13EF-477D-AEAC-45DC032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6E78-8EDD-4E51-A7FE-F11367BE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Тас-оол Оксана Всеволодовна</cp:lastModifiedBy>
  <cp:revision>2</cp:revision>
  <cp:lastPrinted>2024-12-28T08:31:00Z</cp:lastPrinted>
  <dcterms:created xsi:type="dcterms:W3CDTF">2024-12-28T08:31:00Z</dcterms:created>
  <dcterms:modified xsi:type="dcterms:W3CDTF">2024-12-28T08:31:00Z</dcterms:modified>
</cp:coreProperties>
</file>